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75"/>
        <w:tblOverlap w:val="never"/>
        <w:tblW w:w="9464" w:type="dxa"/>
        <w:tblBorders>
          <w:bottom w:val="single" w:sz="4" w:space="0" w:color="auto"/>
          <w:insideH w:val="single" w:sz="4" w:space="0" w:color="auto"/>
          <w:insideV w:val="single" w:sz="4" w:space="0" w:color="auto"/>
        </w:tblBorders>
        <w:tblLook w:val="0000" w:firstRow="0" w:lastRow="0" w:firstColumn="0" w:lastColumn="0" w:noHBand="0" w:noVBand="0"/>
      </w:tblPr>
      <w:tblGrid>
        <w:gridCol w:w="9464"/>
      </w:tblGrid>
      <w:tr w:rsidR="00447727" w:rsidRPr="00E540D8" w14:paraId="17EC19D7" w14:textId="77777777" w:rsidTr="00547928">
        <w:trPr>
          <w:trHeight w:val="2105"/>
        </w:trPr>
        <w:tc>
          <w:tcPr>
            <w:tcW w:w="9464" w:type="dxa"/>
            <w:tcBorders>
              <w:bottom w:val="nil"/>
            </w:tcBorders>
          </w:tcPr>
          <w:p w14:paraId="561FAAE6" w14:textId="73726CBE" w:rsidR="00447727" w:rsidRPr="00902406" w:rsidRDefault="00105D5C" w:rsidP="003407F6">
            <w:pPr>
              <w:spacing w:before="1920" w:after="1920"/>
              <w:jc w:val="right"/>
              <w:rPr>
                <w:sz w:val="44"/>
              </w:rPr>
            </w:pPr>
            <w:bookmarkStart w:id="0" w:name="_Hlk58483696"/>
            <w:r>
              <w:rPr>
                <w:noProof/>
              </w:rPr>
              <w:drawing>
                <wp:inline distT="0" distB="0" distL="0" distR="0" wp14:anchorId="07C2B887" wp14:editId="542DBE20">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447727" w:rsidRPr="00E540D8" w14:paraId="10D27604" w14:textId="77777777" w:rsidTr="00547928">
        <w:trPr>
          <w:trHeight w:val="257"/>
        </w:trPr>
        <w:tc>
          <w:tcPr>
            <w:tcW w:w="9464"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547928">
        <w:trPr>
          <w:trHeight w:val="107"/>
        </w:trPr>
        <w:tc>
          <w:tcPr>
            <w:tcW w:w="9464"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547928">
        <w:trPr>
          <w:trHeight w:val="867"/>
        </w:trPr>
        <w:tc>
          <w:tcPr>
            <w:tcW w:w="9464"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93182D" w:rsidRPr="00E540D8" w14:paraId="71D575E0" w14:textId="77777777" w:rsidTr="00547928">
        <w:trPr>
          <w:trHeight w:val="360"/>
        </w:trPr>
        <w:tc>
          <w:tcPr>
            <w:tcW w:w="9464" w:type="dxa"/>
            <w:tcBorders>
              <w:top w:val="nil"/>
              <w:bottom w:val="nil"/>
            </w:tcBorders>
          </w:tcPr>
          <w:p w14:paraId="5232618E" w14:textId="0F207E13" w:rsidR="0093182D" w:rsidRPr="00547928" w:rsidRDefault="0093182D" w:rsidP="0093182D">
            <w:pPr>
              <w:keepLines/>
              <w:suppressAutoHyphens/>
              <w:spacing w:before="360" w:after="360"/>
              <w:jc w:val="right"/>
              <w:rPr>
                <w:b/>
                <w:bCs/>
                <w:sz w:val="32"/>
                <w:szCs w:val="32"/>
              </w:rPr>
            </w:pPr>
            <w:r>
              <w:rPr>
                <w:color w:val="808080"/>
                <w:kern w:val="2"/>
                <w:sz w:val="36"/>
                <w:szCs w:val="36"/>
              </w:rPr>
              <w:t xml:space="preserve">Internal Access Upgrade to Potable Water Storage Reservoirs – Baralaba, Biloela, </w:t>
            </w:r>
            <w:r w:rsidRPr="00E4778A">
              <w:rPr>
                <w:color w:val="808080"/>
                <w:kern w:val="2"/>
                <w:sz w:val="36"/>
                <w:szCs w:val="36"/>
              </w:rPr>
              <w:t>Moura</w:t>
            </w:r>
          </w:p>
        </w:tc>
      </w:tr>
      <w:tr w:rsidR="0093182D" w:rsidRPr="003A0E6E" w14:paraId="257CA14F" w14:textId="77777777" w:rsidTr="00547928">
        <w:trPr>
          <w:trHeight w:val="355"/>
        </w:trPr>
        <w:tc>
          <w:tcPr>
            <w:tcW w:w="9464" w:type="dxa"/>
            <w:tcBorders>
              <w:top w:val="nil"/>
              <w:bottom w:val="nil"/>
            </w:tcBorders>
          </w:tcPr>
          <w:p w14:paraId="251804CB" w14:textId="38F9AE41" w:rsidR="0093182D" w:rsidRPr="003A0E6E" w:rsidRDefault="0093182D" w:rsidP="0093182D">
            <w:pPr>
              <w:spacing w:before="360" w:after="360"/>
              <w:jc w:val="right"/>
              <w:rPr>
                <w:color w:val="808080"/>
                <w:kern w:val="2"/>
                <w:sz w:val="36"/>
                <w:szCs w:val="36"/>
              </w:rPr>
            </w:pPr>
            <w:r w:rsidRPr="006A0F15">
              <w:rPr>
                <w:color w:val="808080"/>
                <w:kern w:val="2"/>
                <w:sz w:val="36"/>
                <w:szCs w:val="36"/>
              </w:rPr>
              <w:t>CONTRACT NO:</w:t>
            </w:r>
            <w:r w:rsidR="003A0E6E">
              <w:rPr>
                <w:color w:val="808080"/>
                <w:kern w:val="2"/>
                <w:sz w:val="36"/>
                <w:szCs w:val="36"/>
              </w:rPr>
              <w:t xml:space="preserve"> </w:t>
            </w:r>
            <w:r w:rsidR="003A0E6E" w:rsidRPr="003A0E6E">
              <w:rPr>
                <w:color w:val="808080"/>
                <w:kern w:val="2"/>
                <w:sz w:val="36"/>
                <w:szCs w:val="36"/>
              </w:rPr>
              <w:t>T2324.40</w:t>
            </w:r>
          </w:p>
        </w:tc>
      </w:tr>
    </w:tbl>
    <w:p w14:paraId="13F1FEA9" w14:textId="77777777" w:rsidR="00963EE2" w:rsidRDefault="00963EE2">
      <w:pPr>
        <w:sectPr w:rsidR="00963EE2" w:rsidSect="00982053">
          <w:headerReference w:type="even" r:id="rId10"/>
          <w:headerReference w:type="default" r:id="rId11"/>
          <w:footerReference w:type="even" r:id="rId12"/>
          <w:footerReference w:type="default" r:id="rId13"/>
          <w:headerReference w:type="first" r:id="rId14"/>
          <w:footerReference w:type="first" r:id="rId15"/>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7F601750" w:rsidR="00124C3A" w:rsidRPr="00105D5C" w:rsidRDefault="00A8061D" w:rsidP="00105D5C">
            <w:pPr>
              <w:pStyle w:val="OLTableText"/>
              <w:jc w:val="both"/>
              <w:rPr>
                <w:sz w:val="18"/>
                <w:szCs w:val="18"/>
              </w:rPr>
            </w:pPr>
            <w:r w:rsidRPr="005728D0">
              <w:rPr>
                <w:sz w:val="18"/>
                <w:szCs w:val="18"/>
              </w:rPr>
              <w:t xml:space="preserve">The Respondent is to attach this checklist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5E47FFD3"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6C2BA8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DA9C356" w14:textId="77777777" w:rsidTr="00E00630">
        <w:tc>
          <w:tcPr>
            <w:tcW w:w="6449" w:type="dxa"/>
            <w:shd w:val="clear" w:color="auto" w:fill="auto"/>
            <w:vAlign w:val="center"/>
          </w:tcPr>
          <w:p w14:paraId="3945118E" w14:textId="520AE021"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29BF529F" w14:textId="0B9D066B"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2E44BFB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858012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96B345C" w14:textId="77777777" w:rsidTr="00E00630">
        <w:tc>
          <w:tcPr>
            <w:tcW w:w="6449" w:type="dxa"/>
            <w:shd w:val="clear" w:color="auto" w:fill="auto"/>
            <w:vAlign w:val="center"/>
          </w:tcPr>
          <w:p w14:paraId="4E1CBF8A" w14:textId="179A2726"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3FECE0B5" w14:textId="5D4687E4"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7D7555D8" w14:textId="75D80D6B"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0A6C74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6A037B"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6A037B"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0403D46A"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013D1B1" w14:textId="77777777" w:rsidTr="00E00630">
        <w:tc>
          <w:tcPr>
            <w:tcW w:w="6449" w:type="dxa"/>
            <w:shd w:val="clear" w:color="auto" w:fill="auto"/>
            <w:vAlign w:val="center"/>
          </w:tcPr>
          <w:p w14:paraId="16A156ED" w14:textId="59E70BB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6906F21" w14:textId="71165E85"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2E042533" w14:textId="6CDC4D8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AF77920" w14:textId="77777777" w:rsidTr="00E00630">
        <w:tc>
          <w:tcPr>
            <w:tcW w:w="6449" w:type="dxa"/>
            <w:shd w:val="clear" w:color="auto" w:fill="auto"/>
            <w:vAlign w:val="center"/>
          </w:tcPr>
          <w:p w14:paraId="00E2C6E6" w14:textId="7993D820"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6F51549" w14:textId="3D03BC99"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533E600B" w14:textId="1E9E409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B79EE7E"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0C8C23CD"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400A241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57B69588"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4C34EFD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6A037B"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6A037B"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1632E5BD"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4F759723"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7FAA2DB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47E59EE2"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510DE2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56AF2A9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2C16EA8"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6E833EA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33D2969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06ADFA7E"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761443D9"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5733BC20"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A0AF54" w14:textId="77777777" w:rsidTr="00E00630">
        <w:tc>
          <w:tcPr>
            <w:tcW w:w="6449" w:type="dxa"/>
            <w:shd w:val="clear" w:color="auto" w:fill="auto"/>
            <w:vAlign w:val="center"/>
          </w:tcPr>
          <w:p w14:paraId="04D1C826" w14:textId="008BD82A"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7EF7FD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0AC98F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8A10C12" w14:textId="77777777" w:rsidTr="00E00630">
        <w:tc>
          <w:tcPr>
            <w:tcW w:w="6449" w:type="dxa"/>
            <w:shd w:val="clear" w:color="auto" w:fill="auto"/>
            <w:vAlign w:val="center"/>
          </w:tcPr>
          <w:p w14:paraId="48C2DA7E" w14:textId="7345ED7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7644E2BF" w14:textId="2A58AA7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4BBBA475" w14:textId="268F44C2"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C32675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34B71F96"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5C1B55CA"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B21EA9" w:rsidRPr="00B21EA9">
              <w:rPr>
                <w:b/>
                <w:bCs/>
                <w:sz w:val="18"/>
                <w:szCs w:val="18"/>
              </w:rPr>
              <w:t>Schedule O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982053">
          <w:headerReference w:type="first" r:id="rId16"/>
          <w:footerReference w:type="first" r:id="rId17"/>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459B2F81" w:rsidR="004950D6" w:rsidRPr="004950D6" w:rsidRDefault="004950D6" w:rsidP="00AB18F9">
            <w:pPr>
              <w:pStyle w:val="TableText"/>
              <w:spacing w:before="100" w:after="100"/>
              <w:rPr>
                <w:sz w:val="18"/>
                <w:szCs w:val="18"/>
              </w:rPr>
            </w:pPr>
            <w:bookmarkStart w:id="3" w:name="_Ref535482342"/>
            <w:r w:rsidRPr="004950D6">
              <w:rPr>
                <w:sz w:val="18"/>
                <w:szCs w:val="18"/>
              </w:rPr>
              <w:t>Contract:</w:t>
            </w:r>
            <w:r w:rsidR="000444BB">
              <w:rPr>
                <w:sz w:val="18"/>
                <w:szCs w:val="18"/>
              </w:rPr>
              <w:t xml:space="preserve"> T2324.</w:t>
            </w:r>
            <w:r w:rsidR="006A037B">
              <w:rPr>
                <w:sz w:val="18"/>
                <w:szCs w:val="18"/>
              </w:rPr>
              <w:t>40</w:t>
            </w:r>
            <w:r w:rsidR="000444BB">
              <w:rPr>
                <w:sz w:val="18"/>
                <w:szCs w:val="18"/>
              </w:rPr>
              <w:t xml:space="preserve"> </w:t>
            </w:r>
            <w:r w:rsidR="006A037B">
              <w:rPr>
                <w:sz w:val="18"/>
                <w:szCs w:val="18"/>
              </w:rPr>
              <w:t>Internal Access U</w:t>
            </w:r>
            <w:r w:rsidR="000444BB">
              <w:rPr>
                <w:sz w:val="18"/>
                <w:szCs w:val="18"/>
              </w:rPr>
              <w:t>pgrade</w:t>
            </w:r>
            <w:r w:rsidR="006A037B">
              <w:rPr>
                <w:sz w:val="18"/>
                <w:szCs w:val="18"/>
              </w:rPr>
              <w:t xml:space="preserve"> to Potable Water Storage Reservoirs – Baralaba, Biloela, Moura</w:t>
            </w:r>
          </w:p>
        </w:tc>
      </w:tr>
      <w:tr w:rsidR="004950D6" w:rsidRPr="004950D6" w14:paraId="560EA267" w14:textId="77777777" w:rsidTr="004950D6">
        <w:tc>
          <w:tcPr>
            <w:tcW w:w="9565" w:type="dxa"/>
            <w:gridSpan w:val="3"/>
            <w:tcBorders>
              <w:bottom w:val="nil"/>
            </w:tcBorders>
          </w:tcPr>
          <w:p w14:paraId="1F608D04" w14:textId="75144ED0"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acknowledges that it has read and understood the Request for Tender and in particular all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982053">
          <w:headerReference w:type="default" r:id="rId18"/>
          <w:footerReference w:type="default" r:id="rId19"/>
          <w:headerReference w:type="first" r:id="rId20"/>
          <w:footerReference w:type="first" r:id="rId21"/>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982053">
          <w:headerReference w:type="default" r:id="rId22"/>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29"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982053">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Yes or No</w:t>
            </w:r>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Principal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Principal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Principal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17B7BC5" w14:textId="77777777" w:rsidR="002C5A61" w:rsidRDefault="002C5A61" w:rsidP="002837B1"/>
    <w:p w14:paraId="39480EA2" w14:textId="77777777" w:rsidR="002C5A61" w:rsidRDefault="002C5A61" w:rsidP="002837B1">
      <w:pPr>
        <w:sectPr w:rsidR="002C5A61" w:rsidSect="00982053">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Yes or No</w:t>
            </w:r>
            <w:bookmarkEnd w:id="18"/>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a moratorium of debts of any party;</w:t>
            </w:r>
          </w:p>
          <w:p w14:paraId="338530FB" w14:textId="2F2483E8" w:rsidR="004950D6" w:rsidRPr="004950D6" w:rsidRDefault="004950D6" w:rsidP="004950D6">
            <w:pPr>
              <w:pStyle w:val="OLNumber3"/>
              <w:spacing w:before="120" w:after="120"/>
              <w:rPr>
                <w:sz w:val="18"/>
                <w:szCs w:val="18"/>
              </w:rPr>
            </w:pPr>
            <w:r w:rsidRPr="004950D6">
              <w:rPr>
                <w:sz w:val="18"/>
                <w:szCs w:val="18"/>
              </w:rPr>
              <w:t>any other assignment, composition or arrangement (formal or informal) with a party’s creditors;</w:t>
            </w:r>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982053">
          <w:headerReference w:type="default" r:id="rId23"/>
          <w:footerReference w:type="default" r:id="rId24"/>
          <w:headerReference w:type="first" r:id="rId25"/>
          <w:footerReference w:type="first" r:id="rId26"/>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194F9B36" w14:textId="77777777" w:rsidTr="00105D5C">
        <w:trPr>
          <w:trHeight w:val="558"/>
        </w:trPr>
        <w:tc>
          <w:tcPr>
            <w:tcW w:w="9435" w:type="dxa"/>
            <w:gridSpan w:val="4"/>
            <w:shd w:val="clear" w:color="auto" w:fill="F2F2F2" w:themeFill="background1" w:themeFillShade="F2"/>
          </w:tcPr>
          <w:p w14:paraId="302F1544" w14:textId="46FD653E" w:rsidR="00F8564C" w:rsidRPr="00105D5C" w:rsidRDefault="00BF4777" w:rsidP="00105D5C">
            <w:pPr>
              <w:pStyle w:val="Heading2"/>
              <w:rPr>
                <w:sz w:val="18"/>
                <w:szCs w:val="28"/>
              </w:rPr>
            </w:pPr>
            <w:bookmarkStart w:id="23"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3"/>
          </w:p>
        </w:tc>
      </w:tr>
      <w:tr w:rsidR="00A71A91" w:rsidRPr="004950D6" w14:paraId="207907B5" w14:textId="77777777" w:rsidTr="00105D5C">
        <w:trPr>
          <w:trHeight w:val="2122"/>
        </w:trPr>
        <w:tc>
          <w:tcPr>
            <w:tcW w:w="9435" w:type="dxa"/>
            <w:gridSpan w:val="4"/>
          </w:tcPr>
          <w:p w14:paraId="235F742C" w14:textId="0221C435"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is dated no earlier than 7 days prior to the date on which the Response is submitted;</w:t>
            </w:r>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D29323D" w14:textId="0E13D0E6"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Principal. </w:t>
            </w:r>
          </w:p>
        </w:tc>
      </w:tr>
      <w:tr w:rsidR="00FA578D" w:rsidRPr="004950D6" w14:paraId="3FF5D740" w14:textId="77777777" w:rsidTr="00676017">
        <w:trPr>
          <w:trHeight w:val="175"/>
          <w:tblHeader/>
        </w:trPr>
        <w:tc>
          <w:tcPr>
            <w:tcW w:w="5071"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676017">
        <w:trPr>
          <w:trHeight w:val="175"/>
          <w:tblHeader/>
        </w:trPr>
        <w:tc>
          <w:tcPr>
            <w:tcW w:w="5071"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676017">
        <w:trPr>
          <w:trHeight w:val="422"/>
        </w:trPr>
        <w:tc>
          <w:tcPr>
            <w:tcW w:w="5071"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676017">
        <w:trPr>
          <w:trHeight w:val="443"/>
        </w:trPr>
        <w:tc>
          <w:tcPr>
            <w:tcW w:w="5071"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676017">
        <w:trPr>
          <w:trHeight w:val="443"/>
        </w:trPr>
        <w:tc>
          <w:tcPr>
            <w:tcW w:w="5071"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676017">
        <w:trPr>
          <w:trHeight w:val="443"/>
        </w:trPr>
        <w:tc>
          <w:tcPr>
            <w:tcW w:w="5071"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676017">
        <w:trPr>
          <w:trHeight w:val="443"/>
        </w:trPr>
        <w:tc>
          <w:tcPr>
            <w:tcW w:w="5071"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676017">
        <w:trPr>
          <w:trHeight w:val="443"/>
        </w:trPr>
        <w:tc>
          <w:tcPr>
            <w:tcW w:w="5071"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676017">
        <w:trPr>
          <w:trHeight w:val="422"/>
        </w:trPr>
        <w:tc>
          <w:tcPr>
            <w:tcW w:w="5071"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676017">
        <w:trPr>
          <w:trHeight w:val="443"/>
        </w:trPr>
        <w:tc>
          <w:tcPr>
            <w:tcW w:w="5071"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676017">
        <w:trPr>
          <w:trHeight w:val="443"/>
        </w:trPr>
        <w:tc>
          <w:tcPr>
            <w:tcW w:w="5071"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676017">
        <w:trPr>
          <w:trHeight w:val="443"/>
        </w:trPr>
        <w:tc>
          <w:tcPr>
            <w:tcW w:w="5071"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676017">
        <w:trPr>
          <w:trHeight w:val="443"/>
        </w:trPr>
        <w:tc>
          <w:tcPr>
            <w:tcW w:w="5071"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676017">
        <w:trPr>
          <w:trHeight w:val="443"/>
        </w:trPr>
        <w:tc>
          <w:tcPr>
            <w:tcW w:w="5071"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676017">
        <w:trPr>
          <w:trHeight w:val="443"/>
        </w:trPr>
        <w:tc>
          <w:tcPr>
            <w:tcW w:w="5071"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676017">
        <w:trPr>
          <w:trHeight w:val="422"/>
        </w:trPr>
        <w:tc>
          <w:tcPr>
            <w:tcW w:w="5071"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676017">
        <w:trPr>
          <w:trHeight w:val="443"/>
        </w:trPr>
        <w:tc>
          <w:tcPr>
            <w:tcW w:w="5071"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676017">
        <w:trPr>
          <w:trHeight w:val="443"/>
        </w:trPr>
        <w:tc>
          <w:tcPr>
            <w:tcW w:w="5071"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676017">
        <w:trPr>
          <w:trHeight w:val="443"/>
        </w:trPr>
        <w:tc>
          <w:tcPr>
            <w:tcW w:w="5071"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676017">
        <w:trPr>
          <w:trHeight w:val="443"/>
        </w:trPr>
        <w:tc>
          <w:tcPr>
            <w:tcW w:w="5071"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676017">
        <w:trPr>
          <w:trHeight w:val="443"/>
        </w:trPr>
        <w:tc>
          <w:tcPr>
            <w:tcW w:w="5071"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676017">
        <w:trPr>
          <w:trHeight w:val="422"/>
        </w:trPr>
        <w:tc>
          <w:tcPr>
            <w:tcW w:w="5071"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676017">
        <w:trPr>
          <w:trHeight w:val="443"/>
        </w:trPr>
        <w:tc>
          <w:tcPr>
            <w:tcW w:w="5071"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676017">
        <w:trPr>
          <w:trHeight w:val="443"/>
        </w:trPr>
        <w:tc>
          <w:tcPr>
            <w:tcW w:w="5071"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676017">
        <w:trPr>
          <w:trHeight w:val="422"/>
        </w:trPr>
        <w:tc>
          <w:tcPr>
            <w:tcW w:w="5071"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982053">
          <w:pgSz w:w="11907" w:h="16840" w:code="9"/>
          <w:pgMar w:top="1247" w:right="1247" w:bottom="1418" w:left="1418" w:header="567" w:footer="397" w:gutter="0"/>
          <w:cols w:space="708"/>
          <w:titlePg/>
          <w:docGrid w:linePitch="360"/>
        </w:sectPr>
      </w:pPr>
      <w:bookmarkStart w:id="24" w:name="_Ref535495110"/>
      <w:bookmarkEnd w:id="22"/>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lastRenderedPageBreak/>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0355DD2C" w:rsidR="002B165B" w:rsidRPr="00781E31" w:rsidRDefault="00032E24" w:rsidP="00105D5C">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53FB3807" w14:textId="77777777" w:rsidTr="00105D5C">
        <w:trPr>
          <w:trHeight w:val="413"/>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31DAEB5E" w:rsidR="00705D56" w:rsidRPr="00105D5C" w:rsidRDefault="00705D56" w:rsidP="00105D5C">
            <w:pPr>
              <w:pStyle w:val="Heading2"/>
              <w:keepNext/>
              <w:keepLines/>
              <w:widowControl/>
              <w:rPr>
                <w:sz w:val="18"/>
                <w:szCs w:val="18"/>
              </w:rPr>
            </w:pPr>
            <w:bookmarkStart w:id="27" w:name="_Ref141977685"/>
            <w:r w:rsidRPr="00781E31">
              <w:rPr>
                <w:sz w:val="18"/>
                <w:szCs w:val="18"/>
              </w:rPr>
              <w:lastRenderedPageBreak/>
              <w:t>Schedule C2 – Additional Insurances</w:t>
            </w:r>
            <w:bookmarkEnd w:id="27"/>
          </w:p>
        </w:tc>
      </w:tr>
      <w:tr w:rsidR="00705D56" w:rsidRPr="005B6D58" w14:paraId="2E5938FE"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77777777" w:rsidR="00705D56" w:rsidRPr="00C317D1" w:rsidRDefault="00705D56" w:rsidP="00CB24FD">
            <w:pPr>
              <w:pStyle w:val="OLTableText"/>
              <w:keepNext/>
              <w:keepLines/>
              <w:spacing w:before="120" w:after="120"/>
              <w:rPr>
                <w:b/>
                <w:bCs/>
                <w:sz w:val="18"/>
                <w:szCs w:val="18"/>
              </w:rPr>
            </w:pPr>
            <w:r w:rsidRPr="009A4646">
              <w:rPr>
                <w:sz w:val="18"/>
                <w:szCs w:val="18"/>
              </w:rPr>
              <w:t>The Respondent must verify the responses noted in this Schedule by providing certificates of currency if and when requested by the Principal.</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Yes or No</w:t>
            </w:r>
          </w:p>
        </w:tc>
      </w:tr>
      <w:tr w:rsidR="00705D56" w14:paraId="5406FEF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7F8AF1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982053">
          <w:headerReference w:type="first" r:id="rId27"/>
          <w:footerReference w:type="first" r:id="rId28"/>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8" w:name="_Ref142427202"/>
      <w:bookmarkStart w:id="29" w:name="_Ref141921055"/>
      <w:bookmarkStart w:id="30" w:name="_Ref535486840"/>
      <w:r>
        <w:lastRenderedPageBreak/>
        <w:t>Schedule D – Business Profile (Local Content, Employment and Environmental)</w:t>
      </w:r>
      <w:bookmarkEnd w:id="28"/>
      <w:bookmarkEnd w:id="29"/>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7DFA929" w:rsidR="00BA685F" w:rsidRPr="00105D5C" w:rsidRDefault="00EB6727" w:rsidP="00105D5C">
            <w:pPr>
              <w:pStyle w:val="Heading2"/>
              <w:keepNext/>
              <w:keepLines/>
              <w:widowControl/>
              <w:rPr>
                <w:rFonts w:cs="Arial"/>
                <w:sz w:val="18"/>
                <w:szCs w:val="18"/>
              </w:rPr>
            </w:pPr>
            <w:bookmarkStart w:id="31" w:name="_Ref142427224"/>
            <w:r w:rsidRPr="00215384">
              <w:rPr>
                <w:rFonts w:cs="Arial"/>
                <w:sz w:val="18"/>
                <w:szCs w:val="18"/>
              </w:rPr>
              <w:t>Schedule D1 – Local Content</w:t>
            </w:r>
            <w:bookmarkEnd w:id="31"/>
          </w:p>
        </w:tc>
      </w:tr>
      <w:tr w:rsidR="00BA685F" w:rsidRPr="00215384" w14:paraId="287A687E" w14:textId="77777777" w:rsidTr="00E00630">
        <w:tc>
          <w:tcPr>
            <w:tcW w:w="9452" w:type="dxa"/>
            <w:gridSpan w:val="3"/>
            <w:shd w:val="clear" w:color="auto" w:fill="F2F2F2" w:themeFill="background1" w:themeFillShade="F2"/>
          </w:tcPr>
          <w:p w14:paraId="15C45841" w14:textId="4B68E299" w:rsidR="00BA685F" w:rsidRPr="00215384" w:rsidRDefault="00BA685F" w:rsidP="00781E31">
            <w:pPr>
              <w:pStyle w:val="OLTableText"/>
              <w:spacing w:before="120" w:after="120"/>
            </w:pPr>
            <w:r w:rsidRPr="006876A5">
              <w:rPr>
                <w:sz w:val="18"/>
                <w:szCs w:val="18"/>
              </w:rPr>
              <w:t xml:space="preserve">The Respondent must, if and when requested to do so by the Principal, verify the responses noted in this Schedule by providing copies of relevant policies, procedures </w:t>
            </w:r>
            <w:r w:rsidRPr="006876A5">
              <w:rPr>
                <w:bCs/>
                <w:sz w:val="18"/>
                <w:szCs w:val="18"/>
              </w:rPr>
              <w:t>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Yes or No</w:t>
            </w:r>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2" w:name="_Ref142469887"/>
            <w:r w:rsidRPr="00E00630">
              <w:rPr>
                <w:sz w:val="18"/>
                <w:szCs w:val="18"/>
              </w:rPr>
              <w:t>Does the Respondent have a place of business located within the Principal’s local government area?</w:t>
            </w:r>
            <w:bookmarkEnd w:id="32"/>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Outline the Respondent’s understanding of the Principal’s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E8714C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982053">
          <w:headerReference w:type="first" r:id="rId29"/>
          <w:pgSz w:w="11907" w:h="16840" w:code="9"/>
          <w:pgMar w:top="1247" w:right="1247" w:bottom="1418" w:left="1418" w:header="567" w:footer="397" w:gutter="0"/>
          <w:cols w:space="708"/>
          <w:titlePg/>
          <w:docGrid w:linePitch="360"/>
        </w:sectPr>
      </w:pPr>
      <w:bookmarkStart w:id="33"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244FC112" w:rsidR="00EB6727" w:rsidRPr="00215384" w:rsidRDefault="00EB6727" w:rsidP="00105D5C">
            <w:pPr>
              <w:pStyle w:val="Heading2"/>
            </w:pPr>
            <w:bookmarkStart w:id="34" w:name="_Ref142558972"/>
            <w:r w:rsidRPr="002F4B17">
              <w:lastRenderedPageBreak/>
              <w:t>Schedule D2 – Employment</w:t>
            </w:r>
            <w:bookmarkEnd w:id="33"/>
            <w:bookmarkEnd w:id="34"/>
          </w:p>
        </w:tc>
      </w:tr>
      <w:tr w:rsidR="00BA685F" w:rsidRPr="00215384" w14:paraId="218613EC" w14:textId="77777777" w:rsidTr="00CB24FD">
        <w:tc>
          <w:tcPr>
            <w:tcW w:w="9565" w:type="dxa"/>
            <w:shd w:val="clear" w:color="auto" w:fill="F2F2F2" w:themeFill="background1" w:themeFillShade="F2"/>
          </w:tcPr>
          <w:p w14:paraId="75859A87" w14:textId="22AE9AC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493F7C6E" w14:textId="48C07E5B" w:rsidR="00EB6727" w:rsidRPr="00105D5C" w:rsidRDefault="00EB6727" w:rsidP="00105D5C">
            <w:pPr>
              <w:pStyle w:val="Heading2"/>
              <w:keepNext/>
              <w:keepLines/>
              <w:widowControl/>
              <w:jc w:val="both"/>
              <w:rPr>
                <w:rFonts w:cs="Arial"/>
                <w:sz w:val="18"/>
                <w:szCs w:val="18"/>
              </w:rPr>
            </w:pPr>
            <w:bookmarkStart w:id="35"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r w:rsidRPr="00215384">
              <w:rPr>
                <w:rFonts w:cs="Arial"/>
                <w:sz w:val="18"/>
                <w:szCs w:val="18"/>
              </w:rPr>
              <w:t xml:space="preserve"> </w:t>
            </w:r>
          </w:p>
        </w:tc>
      </w:tr>
      <w:tr w:rsidR="00BA685F" w:rsidRPr="00215384" w14:paraId="341066D9" w14:textId="77777777" w:rsidTr="00CB24FD">
        <w:tc>
          <w:tcPr>
            <w:tcW w:w="9565" w:type="dxa"/>
            <w:shd w:val="clear" w:color="auto" w:fill="F2F2F2" w:themeFill="background1" w:themeFillShade="F2"/>
          </w:tcPr>
          <w:p w14:paraId="3371E950" w14:textId="1BBC3AF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6"/>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9A2F8F8"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take into account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982053">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7" w:name="_Ref141921063"/>
      <w:bookmarkEnd w:id="30"/>
      <w:r w:rsidRPr="004950D6">
        <w:lastRenderedPageBreak/>
        <w:t xml:space="preserve">Schedule E – Experience and </w:t>
      </w:r>
      <w:r w:rsidR="00FC17FB">
        <w:t>Capability of Respondent</w:t>
      </w:r>
      <w:bookmarkEnd w:id="37"/>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8" w:name="_Ref142427352"/>
            <w:bookmarkStart w:id="39" w:name="_Ref141921071"/>
            <w:r w:rsidRPr="00781E31">
              <w:rPr>
                <w:sz w:val="18"/>
                <w:szCs w:val="28"/>
              </w:rPr>
              <w:t>Schedule E1 – Similar Engagements Currently Underway</w:t>
            </w:r>
            <w:bookmarkEnd w:id="38"/>
            <w:bookmarkEnd w:id="39"/>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0"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1"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2"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3"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4"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5"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6"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7"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8"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9"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0"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1"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2"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3"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4"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5" w:name="_Ref142427360"/>
            <w:bookmarkStart w:id="56" w:name="_Ref141921077"/>
            <w:r w:rsidRPr="00781E31">
              <w:rPr>
                <w:sz w:val="18"/>
                <w:szCs w:val="28"/>
              </w:rPr>
              <w:t>Schedule E2 – Past Similar Engagements</w:t>
            </w:r>
            <w:bookmarkEnd w:id="55"/>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7"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8"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9"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0"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1"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2"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3"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4"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5"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6"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7"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8"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r>
    </w:tbl>
    <w:p w14:paraId="0B091460" w14:textId="77777777" w:rsidR="00E72A5F" w:rsidRPr="00131F08" w:rsidRDefault="00E72A5F" w:rsidP="00E72A5F">
      <w:bookmarkStart w:id="69" w:name="_Toc146624047"/>
      <w:bookmarkStart w:id="70"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1" w:name="_Ref142051621"/>
            <w:bookmarkStart w:id="72" w:name="_Hlk142051951"/>
            <w:bookmarkEnd w:id="69"/>
            <w:bookmarkEnd w:id="70"/>
            <w:r w:rsidRPr="00781E31">
              <w:rPr>
                <w:sz w:val="18"/>
                <w:szCs w:val="28"/>
              </w:rPr>
              <w:lastRenderedPageBreak/>
              <w:t>Schedule E3 – Resources</w:t>
            </w:r>
            <w:bookmarkEnd w:id="71"/>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982053">
          <w:headerReference w:type="first" r:id="rId30"/>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73"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3"/>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74" w:name="_Ref535495217"/>
            <w:r w:rsidRPr="00781E31">
              <w:rPr>
                <w:sz w:val="18"/>
                <w:szCs w:val="28"/>
              </w:rPr>
              <w:t>Schedule F1 – Key Personnel</w:t>
            </w:r>
            <w:bookmarkEnd w:id="74"/>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one page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2C6082C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2952A59" w14:textId="01AA6C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62E55D57" w14:textId="0A87329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47CF4AF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81C88B0" w14:textId="1E2A8D6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7599EA9B" w14:textId="158CA9D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2026212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161D96F0" w14:textId="171DE9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9D9114C" w14:textId="5294066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27FC0CB5"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0266F685" w14:textId="51D9E28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430C0C4E" w14:textId="733B47E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9CAC2A5" w14:textId="39E8C2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51087CD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397942C0" w14:textId="239EF70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9524A3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5EB0AAA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*if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982053">
          <w:headerReference w:type="first" r:id="rId31"/>
          <w:footerReference w:type="first" r:id="rId32"/>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5" w:name="_Ref535495222"/>
            <w:bookmarkStart w:id="76" w:name="_Ref51858136"/>
            <w:r w:rsidRPr="00781E31">
              <w:rPr>
                <w:sz w:val="18"/>
                <w:szCs w:val="28"/>
              </w:rPr>
              <w:lastRenderedPageBreak/>
              <w:t>Schedule F2 – Subcontractors, Suppliers</w:t>
            </w:r>
            <w:bookmarkEnd w:id="75"/>
            <w:r w:rsidRPr="00781E31">
              <w:rPr>
                <w:sz w:val="18"/>
                <w:szCs w:val="28"/>
              </w:rPr>
              <w:t xml:space="preserve"> and Consultants</w:t>
            </w:r>
            <w:bookmarkEnd w:id="76"/>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GST</w:t>
            </w:r>
            <w:r w:rsidRPr="004950D6">
              <w:rPr>
                <w:b/>
                <w:bCs/>
                <w:sz w:val="18"/>
                <w:szCs w:val="18"/>
              </w:rPr>
              <w:t>)</w:t>
            </w:r>
            <w:r w:rsidR="00A86245">
              <w:rPr>
                <w:b/>
                <w:bCs/>
                <w:sz w:val="18"/>
                <w:szCs w:val="18"/>
              </w:rPr>
              <w:t>*</w:t>
            </w:r>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EB3BE82"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taken into account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982053">
          <w:headerReference w:type="first" r:id="rId33"/>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7" w:name="_Ref141921123"/>
      <w:r w:rsidRPr="004950D6">
        <w:lastRenderedPageBreak/>
        <w:t xml:space="preserve">Schedule </w:t>
      </w:r>
      <w:r w:rsidR="00FE4DE4">
        <w:t>G</w:t>
      </w:r>
      <w:r w:rsidRPr="004950D6">
        <w:t xml:space="preserve"> – Management Systems</w:t>
      </w:r>
      <w:bookmarkEnd w:id="77"/>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8" w:name="_Ref535495263"/>
            <w:r w:rsidRPr="00781E31">
              <w:rPr>
                <w:sz w:val="18"/>
                <w:szCs w:val="28"/>
              </w:rPr>
              <w:t>Schedule G</w:t>
            </w:r>
            <w:r w:rsidR="004950D6" w:rsidRPr="00781E31">
              <w:rPr>
                <w:sz w:val="18"/>
                <w:szCs w:val="28"/>
              </w:rPr>
              <w:t>1 – Work Health and Safety</w:t>
            </w:r>
            <w:bookmarkEnd w:id="78"/>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49724494"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Principal,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Yes or No</w:t>
            </w:r>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on site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Yes or No</w:t>
            </w:r>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982053">
          <w:headerReference w:type="first" r:id="rId34"/>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9" w:name="_Ref51858178"/>
            <w:r w:rsidRPr="00781E31">
              <w:rPr>
                <w:sz w:val="18"/>
                <w:szCs w:val="28"/>
              </w:rPr>
              <w:lastRenderedPageBreak/>
              <w:t>Schedule G</w:t>
            </w:r>
            <w:r w:rsidR="004950D6" w:rsidRPr="00781E31">
              <w:rPr>
                <w:sz w:val="18"/>
                <w:szCs w:val="28"/>
              </w:rPr>
              <w:t>2 – Environmental Management</w:t>
            </w:r>
            <w:bookmarkEnd w:id="79"/>
          </w:p>
        </w:tc>
      </w:tr>
      <w:tr w:rsidR="004950D6" w:rsidRPr="003371E3" w14:paraId="7F9FB494" w14:textId="77777777" w:rsidTr="00105D5C">
        <w:trPr>
          <w:trHeight w:val="675"/>
        </w:trPr>
        <w:tc>
          <w:tcPr>
            <w:tcW w:w="9274" w:type="dxa"/>
            <w:gridSpan w:val="2"/>
            <w:shd w:val="clear" w:color="auto" w:fill="F2F2F2" w:themeFill="background1" w:themeFillShade="F2"/>
            <w:vAlign w:val="center"/>
          </w:tcPr>
          <w:p w14:paraId="75CE1F9D" w14:textId="60F45834" w:rsidR="004950D6" w:rsidRPr="00105D5C" w:rsidRDefault="004950D6" w:rsidP="00781E31">
            <w:pPr>
              <w:pStyle w:val="OLTableText"/>
              <w:spacing w:before="120" w:after="120"/>
              <w:rPr>
                <w:sz w:val="18"/>
                <w:szCs w:val="18"/>
              </w:rPr>
            </w:pPr>
            <w:r w:rsidRPr="00781E31">
              <w:rPr>
                <w:sz w:val="18"/>
                <w:szCs w:val="18"/>
              </w:rPr>
              <w:t xml:space="preserve">The Respondent must, if and when requested to do so by the Principal, verify the responses noted in this Schedule including by providing documentary evidence of the Respondent’s environmental management system. </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0"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0"/>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6A037B"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1"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1"/>
          </w:p>
        </w:tc>
        <w:tc>
          <w:tcPr>
            <w:tcW w:w="2259" w:type="dxa"/>
            <w:shd w:val="clear" w:color="auto" w:fill="auto"/>
            <w:vAlign w:val="center"/>
          </w:tcPr>
          <w:p w14:paraId="1B0152CD" w14:textId="60B0687B" w:rsidR="00A81FEC" w:rsidRPr="004950D6" w:rsidRDefault="006A037B"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6A037B"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6A037B"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6A037B"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6A037B"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6A037B"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6A037B"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6A037B"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982053">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2"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2"/>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18E89CF5" w:rsidR="004950D6" w:rsidRPr="004950D6" w:rsidRDefault="004950D6" w:rsidP="00781E31">
            <w:pPr>
              <w:pStyle w:val="OLTableText"/>
              <w:spacing w:before="120" w:after="120"/>
              <w:rPr>
                <w:b/>
              </w:rPr>
            </w:pPr>
            <w:r w:rsidRPr="00781E31">
              <w:rPr>
                <w:sz w:val="18"/>
                <w:szCs w:val="18"/>
              </w:rPr>
              <w:t>The Respondent must, if and when requested to do so by the Principal,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Yes or No</w:t>
            </w:r>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982053">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83" w:name="_Ref51858189"/>
      <w:bookmarkStart w:id="84" w:name="_Ref535494901"/>
      <w:bookmarkStart w:id="85" w:name="_Ref535482381"/>
      <w:bookmarkStart w:id="86" w:name="_Ref535494930"/>
      <w:r>
        <w:lastRenderedPageBreak/>
        <w:t>Schedule H</w:t>
      </w:r>
      <w:r w:rsidR="004950D6" w:rsidRPr="004950D6">
        <w:t xml:space="preserve"> – Methodology</w:t>
      </w:r>
      <w:bookmarkEnd w:id="83"/>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0185E860"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a brief overview of the methodology proposed by the Respondent for the carrying out and completion of WUC;</w:t>
            </w:r>
          </w:p>
          <w:p w14:paraId="0A1D7406" w14:textId="77777777" w:rsidR="000B4557" w:rsidRPr="000B4557" w:rsidRDefault="000B4557" w:rsidP="00781E31">
            <w:pPr>
              <w:pStyle w:val="OLNumber1"/>
              <w:spacing w:before="120" w:after="120"/>
              <w:rPr>
                <w:sz w:val="18"/>
                <w:szCs w:val="18"/>
              </w:rPr>
            </w:pPr>
            <w:r w:rsidRPr="000B4557">
              <w:rPr>
                <w:sz w:val="18"/>
                <w:szCs w:val="18"/>
              </w:rPr>
              <w:t>an understanding of the project objectives and deliverables;</w:t>
            </w:r>
          </w:p>
          <w:p w14:paraId="26F8B052" w14:textId="77777777" w:rsidR="000B4557" w:rsidRPr="000B4557" w:rsidRDefault="000B4557" w:rsidP="00781E31">
            <w:pPr>
              <w:pStyle w:val="OLNumber1"/>
              <w:spacing w:before="120" w:after="120"/>
              <w:rPr>
                <w:sz w:val="18"/>
                <w:szCs w:val="18"/>
              </w:rPr>
            </w:pPr>
            <w:r w:rsidRPr="000B4557">
              <w:rPr>
                <w:sz w:val="18"/>
                <w:szCs w:val="18"/>
              </w:rPr>
              <w:t>how it will identify potential problems that may arise during carrying out and completion of WUC;</w:t>
            </w:r>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problems; </w:t>
            </w:r>
          </w:p>
          <w:p w14:paraId="2E88DD3E" w14:textId="77777777" w:rsidR="000B4557" w:rsidRPr="000B4557" w:rsidRDefault="000B4557" w:rsidP="00781E31">
            <w:pPr>
              <w:pStyle w:val="OLNumber1"/>
              <w:spacing w:before="120" w:after="120"/>
              <w:rPr>
                <w:sz w:val="18"/>
                <w:szCs w:val="18"/>
              </w:rPr>
            </w:pPr>
            <w:r w:rsidRPr="000B4557">
              <w:rPr>
                <w:sz w:val="18"/>
                <w:szCs w:val="18"/>
              </w:rPr>
              <w:t>identify construction/project risks and strategies for management and mitigation of these risks;</w:t>
            </w:r>
          </w:p>
          <w:p w14:paraId="539C6BCA" w14:textId="77777777" w:rsidR="000B4557" w:rsidRPr="000B4557" w:rsidRDefault="000B4557" w:rsidP="00781E31">
            <w:pPr>
              <w:pStyle w:val="OLNumber1"/>
              <w:spacing w:before="120" w:after="120"/>
              <w:rPr>
                <w:sz w:val="18"/>
                <w:szCs w:val="18"/>
              </w:rPr>
            </w:pPr>
            <w:r w:rsidRPr="000B4557">
              <w:rPr>
                <w:sz w:val="18"/>
                <w:szCs w:val="18"/>
              </w:rPr>
              <w:t>comments on constructability;</w:t>
            </w:r>
          </w:p>
          <w:p w14:paraId="32DFFD2D" w14:textId="77777777" w:rsidR="000B4557" w:rsidRPr="000B4557" w:rsidRDefault="000B4557" w:rsidP="00781E31">
            <w:pPr>
              <w:pStyle w:val="OLNumber1"/>
              <w:spacing w:before="120" w:after="120"/>
              <w:rPr>
                <w:sz w:val="18"/>
                <w:szCs w:val="18"/>
              </w:rPr>
            </w:pPr>
            <w:r w:rsidRPr="000B4557">
              <w:rPr>
                <w:sz w:val="18"/>
                <w:szCs w:val="18"/>
              </w:rPr>
              <w:t>commissioning and handover management proposed;</w:t>
            </w:r>
          </w:p>
          <w:p w14:paraId="56006430" w14:textId="77777777" w:rsidR="000B4557" w:rsidRPr="000B4557" w:rsidRDefault="000B4557" w:rsidP="00781E31">
            <w:pPr>
              <w:pStyle w:val="OLNumber1"/>
              <w:spacing w:before="120" w:after="120"/>
              <w:rPr>
                <w:sz w:val="18"/>
                <w:szCs w:val="18"/>
              </w:rPr>
            </w:pPr>
            <w:r w:rsidRPr="000B4557">
              <w:rPr>
                <w:sz w:val="18"/>
                <w:szCs w:val="18"/>
              </w:rPr>
              <w:t>defect rectification management proposed;</w:t>
            </w:r>
          </w:p>
          <w:p w14:paraId="68107228" w14:textId="77777777" w:rsidR="000B4557" w:rsidRPr="000B4557" w:rsidRDefault="000B4557" w:rsidP="00781E31">
            <w:pPr>
              <w:pStyle w:val="OLNumber1"/>
              <w:spacing w:before="120" w:after="120"/>
              <w:rPr>
                <w:sz w:val="18"/>
                <w:szCs w:val="18"/>
              </w:rPr>
            </w:pPr>
            <w:r w:rsidRPr="000B4557">
              <w:rPr>
                <w:sz w:val="18"/>
                <w:szCs w:val="18"/>
              </w:rPr>
              <w:t>provide a summary of any cost saving initiatives or opportunities that it has identified or recommends;</w:t>
            </w:r>
          </w:p>
          <w:p w14:paraId="59F857E0" w14:textId="12C88B70" w:rsidR="000B4557" w:rsidRPr="000B4557" w:rsidRDefault="000B4557" w:rsidP="00781E31">
            <w:pPr>
              <w:pStyle w:val="OLNumber1"/>
              <w:spacing w:before="120" w:after="120"/>
              <w:rPr>
                <w:sz w:val="18"/>
                <w:szCs w:val="18"/>
              </w:rPr>
            </w:pPr>
            <w:r w:rsidRPr="000B4557">
              <w:rPr>
                <w:sz w:val="18"/>
                <w:szCs w:val="18"/>
              </w:rPr>
              <w:t>provide a summary of innovative work procedures or any other innovation that it recommends or offers during the course of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details of how it proposes to co-ordinate and work with the Principal’s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in respect to any shut downs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783AA6AC"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982053">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7" w:name="_Ref141920013"/>
      <w:bookmarkStart w:id="88" w:name="_Ref535494907"/>
      <w:bookmarkStart w:id="89" w:name="_Ref535495189"/>
      <w:r>
        <w:lastRenderedPageBreak/>
        <w:t>Schedule I</w:t>
      </w:r>
      <w:r w:rsidR="004950D6" w:rsidRPr="004950D6">
        <w:t xml:space="preserve"> – Program</w:t>
      </w:r>
      <w:bookmarkEnd w:id="87"/>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8"/>
          <w:bookmarkEnd w:id="89"/>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demonstrates that the Respondent could, if the Respondent’s Response is successful, satisfactorily complete the Works by the date or within the period described in the Tender Form for completion;</w:t>
            </w:r>
          </w:p>
          <w:p w14:paraId="159D4313" w14:textId="1DA08426"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r w:rsidR="00E77E76">
              <w:rPr>
                <w:sz w:val="18"/>
                <w:szCs w:val="18"/>
              </w:rPr>
              <w:t xml:space="preserve">and </w:t>
            </w:r>
          </w:p>
          <w:p w14:paraId="5510C98D" w14:textId="702318D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982053">
          <w:headerReference w:type="default" r:id="rId35"/>
          <w:footerReference w:type="default" r:id="rId36"/>
          <w:headerReference w:type="first" r:id="rId37"/>
          <w:footerReference w:type="first" r:id="rId38"/>
          <w:pgSz w:w="11907" w:h="16840" w:code="9"/>
          <w:pgMar w:top="1247" w:right="1247" w:bottom="1418" w:left="1418" w:header="567" w:footer="397" w:gutter="0"/>
          <w:cols w:space="708"/>
          <w:titlePg/>
          <w:docGrid w:linePitch="360"/>
        </w:sectPr>
      </w:pPr>
      <w:bookmarkStart w:id="90" w:name="_Ref51858269"/>
    </w:p>
    <w:p w14:paraId="5EEBCA11" w14:textId="4EFC04D9" w:rsidR="007F1E6A" w:rsidRPr="004950D6" w:rsidRDefault="00FE4DE4" w:rsidP="002F7F4F">
      <w:pPr>
        <w:pStyle w:val="Heading1"/>
        <w:pBdr>
          <w:bottom w:val="single" w:sz="4" w:space="1" w:color="auto"/>
        </w:pBdr>
        <w:spacing w:after="360"/>
      </w:pPr>
      <w:bookmarkStart w:id="91" w:name="_Ref141921133"/>
      <w:r>
        <w:lastRenderedPageBreak/>
        <w:t>Schedule J</w:t>
      </w:r>
      <w:r w:rsidR="007F1E6A" w:rsidRPr="004950D6">
        <w:t xml:space="preserve"> – Pricing, Cash Flow and Variation Rates</w:t>
      </w:r>
      <w:bookmarkEnd w:id="84"/>
      <w:bookmarkEnd w:id="90"/>
      <w:bookmarkEnd w:id="91"/>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92" w:name="_Ref535495153"/>
            <w:r w:rsidRPr="00781E31">
              <w:rPr>
                <w:sz w:val="18"/>
                <w:szCs w:val="28"/>
              </w:rPr>
              <w:t>Schedule J</w:t>
            </w:r>
            <w:r w:rsidR="004950D6" w:rsidRPr="00781E31">
              <w:rPr>
                <w:sz w:val="18"/>
                <w:szCs w:val="28"/>
              </w:rPr>
              <w:t>1 – Pricing</w:t>
            </w:r>
            <w:bookmarkEnd w:id="92"/>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80B236C" w:rsidR="00AA1639" w:rsidRPr="00105D5C" w:rsidRDefault="00FE4DE4" w:rsidP="00105D5C">
            <w:pPr>
              <w:pStyle w:val="Heading2"/>
              <w:rPr>
                <w:sz w:val="18"/>
                <w:szCs w:val="28"/>
              </w:rPr>
            </w:pPr>
            <w:bookmarkStart w:id="93" w:name="_Ref535495160"/>
            <w:r w:rsidRPr="00781E31">
              <w:rPr>
                <w:sz w:val="18"/>
                <w:szCs w:val="28"/>
              </w:rPr>
              <w:t>Schedule J</w:t>
            </w:r>
            <w:r w:rsidR="004950D6" w:rsidRPr="00781E31">
              <w:rPr>
                <w:sz w:val="18"/>
                <w:szCs w:val="28"/>
              </w:rPr>
              <w:t>2 – Cash Flow Projection</w:t>
            </w:r>
            <w:bookmarkEnd w:id="93"/>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982053">
          <w:pgSz w:w="11907" w:h="16840" w:code="9"/>
          <w:pgMar w:top="1247" w:right="1247" w:bottom="1418" w:left="1418" w:header="567" w:footer="397" w:gutter="0"/>
          <w:cols w:space="708"/>
          <w:titlePg/>
          <w:docGrid w:linePitch="360"/>
        </w:sectPr>
      </w:pPr>
      <w:bookmarkStart w:id="94"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95" w:name="_Ref141923651"/>
            <w:r w:rsidRPr="00781E31">
              <w:rPr>
                <w:sz w:val="18"/>
                <w:szCs w:val="28"/>
              </w:rPr>
              <w:lastRenderedPageBreak/>
              <w:t>Schedule J</w:t>
            </w:r>
            <w:r w:rsidR="004950D6" w:rsidRPr="00781E31">
              <w:rPr>
                <w:sz w:val="18"/>
                <w:szCs w:val="28"/>
              </w:rPr>
              <w:t>3 – Variation Rates</w:t>
            </w:r>
            <w:bookmarkEnd w:id="94"/>
            <w:bookmarkEnd w:id="95"/>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105D5C">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0E5AE491"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4"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105D5C">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7F33D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6"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534B6A4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7"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c>
          <w:tcPr>
            <w:tcW w:w="1685" w:type="dxa"/>
            <w:tcBorders>
              <w:top w:val="single" w:sz="6" w:space="0" w:color="000000"/>
              <w:left w:val="single" w:sz="6" w:space="0" w:color="000000"/>
              <w:bottom w:val="single" w:sz="6" w:space="0" w:color="000000"/>
              <w:right w:val="single" w:sz="6" w:space="0" w:color="000000"/>
            </w:tcBorders>
            <w:vAlign w:val="center"/>
          </w:tcPr>
          <w:p w14:paraId="025877FB" w14:textId="463066A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8"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r>
      <w:tr w:rsidR="007F1E6A" w:rsidRPr="00131F08" w14:paraId="1EFACE1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390EB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9"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500E9A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100"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c>
          <w:tcPr>
            <w:tcW w:w="1685" w:type="dxa"/>
            <w:tcBorders>
              <w:top w:val="single" w:sz="6" w:space="0" w:color="000000"/>
              <w:left w:val="single" w:sz="6" w:space="0" w:color="000000"/>
              <w:bottom w:val="single" w:sz="6" w:space="0" w:color="000000"/>
              <w:right w:val="single" w:sz="6" w:space="0" w:color="000000"/>
            </w:tcBorders>
            <w:vAlign w:val="center"/>
          </w:tcPr>
          <w:p w14:paraId="10441588" w14:textId="566FF29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1"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r>
      <w:tr w:rsidR="007F1E6A" w:rsidRPr="00131F08" w14:paraId="03AAC58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62BD949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2"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3110F0E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3"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c>
          <w:tcPr>
            <w:tcW w:w="1685" w:type="dxa"/>
            <w:tcBorders>
              <w:top w:val="single" w:sz="6" w:space="0" w:color="000000"/>
              <w:left w:val="single" w:sz="6" w:space="0" w:color="000000"/>
              <w:bottom w:val="single" w:sz="6" w:space="0" w:color="000000"/>
              <w:right w:val="single" w:sz="6" w:space="0" w:color="000000"/>
            </w:tcBorders>
            <w:vAlign w:val="center"/>
          </w:tcPr>
          <w:p w14:paraId="04607665" w14:textId="2196AC3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4"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r>
      <w:tr w:rsidR="007F1E6A" w:rsidRPr="00131F08" w14:paraId="1B9AF71C"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A70A92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5"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59E4C5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6"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c>
          <w:tcPr>
            <w:tcW w:w="1685" w:type="dxa"/>
            <w:tcBorders>
              <w:top w:val="single" w:sz="6" w:space="0" w:color="000000"/>
              <w:left w:val="single" w:sz="6" w:space="0" w:color="000000"/>
              <w:bottom w:val="single" w:sz="6" w:space="0" w:color="000000"/>
              <w:right w:val="single" w:sz="6" w:space="0" w:color="000000"/>
            </w:tcBorders>
            <w:vAlign w:val="center"/>
          </w:tcPr>
          <w:p w14:paraId="71D1E068" w14:textId="6E792F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7"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r>
      <w:tr w:rsidR="007F1E6A" w:rsidRPr="00131F08" w14:paraId="3598E6B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2061239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08"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7AE6667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09"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c>
          <w:tcPr>
            <w:tcW w:w="1685" w:type="dxa"/>
            <w:tcBorders>
              <w:top w:val="single" w:sz="6" w:space="0" w:color="000000"/>
              <w:left w:val="single" w:sz="6" w:space="0" w:color="000000"/>
              <w:bottom w:val="single" w:sz="6" w:space="0" w:color="000000"/>
              <w:right w:val="single" w:sz="6" w:space="0" w:color="000000"/>
            </w:tcBorders>
            <w:vAlign w:val="center"/>
          </w:tcPr>
          <w:p w14:paraId="4B8E8534" w14:textId="47B93A0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0"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r>
      <w:tr w:rsidR="007F1E6A" w:rsidRPr="00131F08" w14:paraId="40A281D6"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4D5477F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1"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1A8E511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2"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c>
          <w:tcPr>
            <w:tcW w:w="1685" w:type="dxa"/>
            <w:tcBorders>
              <w:top w:val="single" w:sz="6" w:space="0" w:color="000000"/>
              <w:left w:val="single" w:sz="6" w:space="0" w:color="000000"/>
              <w:bottom w:val="single" w:sz="6" w:space="0" w:color="000000"/>
              <w:right w:val="single" w:sz="6" w:space="0" w:color="000000"/>
            </w:tcBorders>
            <w:vAlign w:val="center"/>
          </w:tcPr>
          <w:p w14:paraId="5C4AE791" w14:textId="34D5903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3"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r>
      <w:tr w:rsidR="007F1E6A" w:rsidRPr="00131F08" w14:paraId="7D8B0C4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CC757B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4"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4AF22E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5"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c>
          <w:tcPr>
            <w:tcW w:w="1685" w:type="dxa"/>
            <w:tcBorders>
              <w:top w:val="single" w:sz="6" w:space="0" w:color="000000"/>
              <w:left w:val="single" w:sz="6" w:space="0" w:color="000000"/>
              <w:bottom w:val="single" w:sz="6" w:space="0" w:color="000000"/>
              <w:right w:val="single" w:sz="6" w:space="0" w:color="000000"/>
            </w:tcBorders>
            <w:vAlign w:val="center"/>
          </w:tcPr>
          <w:p w14:paraId="264699E7" w14:textId="3E4EA3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16"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r>
      <w:tr w:rsidR="007F1E6A" w:rsidRPr="00131F08" w14:paraId="6FEBAB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1604456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17"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1F28D5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18"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c>
          <w:tcPr>
            <w:tcW w:w="1685" w:type="dxa"/>
            <w:tcBorders>
              <w:top w:val="single" w:sz="6" w:space="0" w:color="000000"/>
              <w:left w:val="single" w:sz="6" w:space="0" w:color="000000"/>
              <w:bottom w:val="single" w:sz="6" w:space="0" w:color="000000"/>
              <w:right w:val="single" w:sz="6" w:space="0" w:color="000000"/>
            </w:tcBorders>
            <w:vAlign w:val="center"/>
          </w:tcPr>
          <w:p w14:paraId="1276BADF" w14:textId="49DCF39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19"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r>
      <w:tr w:rsidR="007F1E6A" w:rsidRPr="00131F08" w14:paraId="7629D94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345CA9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0"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2DD6E41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1"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c>
          <w:tcPr>
            <w:tcW w:w="1685" w:type="dxa"/>
            <w:tcBorders>
              <w:top w:val="single" w:sz="6" w:space="0" w:color="000000"/>
              <w:left w:val="single" w:sz="6" w:space="0" w:color="000000"/>
              <w:bottom w:val="single" w:sz="6" w:space="0" w:color="000000"/>
              <w:right w:val="single" w:sz="6" w:space="0" w:color="000000"/>
            </w:tcBorders>
            <w:vAlign w:val="center"/>
          </w:tcPr>
          <w:p w14:paraId="09E6CBEC" w14:textId="0D7F8F2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2"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r>
      <w:tr w:rsidR="007F1E6A" w:rsidRPr="00131F08" w14:paraId="6D4F5A6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4125F2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3"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7A7D7E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4"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c>
          <w:tcPr>
            <w:tcW w:w="1685" w:type="dxa"/>
            <w:tcBorders>
              <w:top w:val="single" w:sz="6" w:space="0" w:color="000000"/>
              <w:left w:val="single" w:sz="6" w:space="0" w:color="000000"/>
              <w:bottom w:val="single" w:sz="6" w:space="0" w:color="000000"/>
              <w:right w:val="single" w:sz="6" w:space="0" w:color="000000"/>
            </w:tcBorders>
            <w:vAlign w:val="center"/>
          </w:tcPr>
          <w:p w14:paraId="2D493A53" w14:textId="61DF0E5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5"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r>
      <w:tr w:rsidR="007F1E6A" w:rsidRPr="00131F08" w14:paraId="1633EA9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24051D4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26"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1CF6911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27"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c>
          <w:tcPr>
            <w:tcW w:w="1685" w:type="dxa"/>
            <w:tcBorders>
              <w:top w:val="single" w:sz="6" w:space="0" w:color="000000"/>
              <w:left w:val="single" w:sz="6" w:space="0" w:color="000000"/>
              <w:bottom w:val="single" w:sz="6" w:space="0" w:color="000000"/>
              <w:right w:val="single" w:sz="6" w:space="0" w:color="000000"/>
            </w:tcBorders>
            <w:vAlign w:val="center"/>
          </w:tcPr>
          <w:p w14:paraId="4EFE8B54" w14:textId="3616B9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28"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r>
      <w:tr w:rsidR="007F1E6A" w:rsidRPr="00131F08" w14:paraId="4080A6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6D6A64F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29"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7392BDF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0"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c>
          <w:tcPr>
            <w:tcW w:w="1685" w:type="dxa"/>
            <w:tcBorders>
              <w:top w:val="single" w:sz="6" w:space="0" w:color="000000"/>
              <w:left w:val="single" w:sz="6" w:space="0" w:color="000000"/>
              <w:bottom w:val="single" w:sz="6" w:space="0" w:color="000000"/>
              <w:right w:val="single" w:sz="6" w:space="0" w:color="000000"/>
            </w:tcBorders>
            <w:vAlign w:val="center"/>
          </w:tcPr>
          <w:p w14:paraId="1EB27D61" w14:textId="0921102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1"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r>
      <w:tr w:rsidR="007F1E6A" w:rsidRPr="00131F08" w14:paraId="225597C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6555913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2"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11A081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3"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c>
          <w:tcPr>
            <w:tcW w:w="1685" w:type="dxa"/>
            <w:tcBorders>
              <w:top w:val="single" w:sz="6" w:space="0" w:color="000000"/>
              <w:left w:val="single" w:sz="6" w:space="0" w:color="000000"/>
              <w:bottom w:val="single" w:sz="6" w:space="0" w:color="000000"/>
              <w:right w:val="single" w:sz="6" w:space="0" w:color="000000"/>
            </w:tcBorders>
            <w:vAlign w:val="center"/>
          </w:tcPr>
          <w:p w14:paraId="74CE1DAE" w14:textId="11BD4D6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4"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615BFEE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5"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6193D28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36"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46B5F5C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37"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1685" w:type="dxa"/>
            <w:tcBorders>
              <w:top w:val="single" w:sz="6" w:space="0" w:color="000000"/>
              <w:left w:val="single" w:sz="6" w:space="0" w:color="000000"/>
              <w:bottom w:val="single" w:sz="6" w:space="0" w:color="000000"/>
              <w:right w:val="single" w:sz="6" w:space="0" w:color="000000"/>
            </w:tcBorders>
            <w:vAlign w:val="center"/>
          </w:tcPr>
          <w:p w14:paraId="49B727ED" w14:textId="0709718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38"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r>
      <w:tr w:rsidR="007F1E6A" w:rsidRPr="00131F08" w14:paraId="47EB1DA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1B8EB5C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39"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2A5699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0"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6DE8269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1"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1685" w:type="dxa"/>
            <w:tcBorders>
              <w:top w:val="single" w:sz="6" w:space="0" w:color="000000"/>
              <w:left w:val="single" w:sz="6" w:space="0" w:color="000000"/>
              <w:bottom w:val="single" w:sz="6" w:space="0" w:color="000000"/>
              <w:right w:val="single" w:sz="6" w:space="0" w:color="000000"/>
            </w:tcBorders>
            <w:vAlign w:val="center"/>
          </w:tcPr>
          <w:p w14:paraId="1DEDD402" w14:textId="7439008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2"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r>
      <w:tr w:rsidR="00105D5C" w:rsidRPr="00131F08" w14:paraId="60EE103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6E1022E" w14:textId="2D1225CA"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611D8510" w14:textId="2C40846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4486954C" w14:textId="422380D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7A1A6052" w14:textId="671183E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EC3C7F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68A4CB5" w14:textId="25FE14AE"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AD8FD3" w14:textId="1F6C0FE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177363DA" w14:textId="0FAC0A8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40CA5FA3" w14:textId="561DD568"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55E5059"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54FA95" w14:textId="5362A6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7C1E1F6F" w14:textId="0A98D31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2AA8E873" w14:textId="23E7B5A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2CEA58D3" w14:textId="0B2FE73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7A9A6A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0AC82CA" w14:textId="47C6CB6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3522624A" w14:textId="307609C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032181BC" w14:textId="3B611B1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77ABC66" w14:textId="1758088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3D205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9D52D5F" w14:textId="1405980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3A568D" w14:textId="35A69AD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53172C2C" w14:textId="538EF0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B0682BB" w14:textId="2DABCE3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476FC9B"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064BB5B" w14:textId="3312C44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37479C2" w14:textId="7201EA9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666FF04D" w14:textId="4E922954"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6F62983B" w14:textId="58486071"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982053">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260E1F1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3589D17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193E117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61F422E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1B4B13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EFE4C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31FADD0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974AD8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0CC361F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2C50AC3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5372E31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77EBF18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563DF7E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3921C3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1CD28F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F46137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009060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4285D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6216BCC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75FB81F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68F2F5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198E892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1159515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1BFBEAB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295BEC4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3733BA2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190A0DE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3AFECF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4C8ECF8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5CA8490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E201E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25CA476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32F45B6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00920B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A3FA17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105D5C" w:rsidRPr="00131F08" w14:paraId="646E009F" w14:textId="77777777" w:rsidTr="00676017">
        <w:trPr>
          <w:trHeight w:val="445"/>
        </w:trPr>
        <w:tc>
          <w:tcPr>
            <w:tcW w:w="3729" w:type="dxa"/>
            <w:tcBorders>
              <w:top w:val="single" w:sz="6" w:space="0" w:color="000000"/>
              <w:bottom w:val="single" w:sz="6" w:space="0" w:color="000000"/>
            </w:tcBorders>
            <w:vAlign w:val="center"/>
          </w:tcPr>
          <w:p w14:paraId="1F40E64C" w14:textId="385E662A"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CFB533" w14:textId="1882355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66712DD" w14:textId="564553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B4B57A5" w14:textId="3CAF893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EE6AA5B" w14:textId="77777777" w:rsidTr="00676017">
        <w:trPr>
          <w:trHeight w:val="445"/>
        </w:trPr>
        <w:tc>
          <w:tcPr>
            <w:tcW w:w="3729" w:type="dxa"/>
            <w:tcBorders>
              <w:top w:val="single" w:sz="6" w:space="0" w:color="000000"/>
              <w:bottom w:val="single" w:sz="6" w:space="0" w:color="000000"/>
            </w:tcBorders>
            <w:vAlign w:val="center"/>
          </w:tcPr>
          <w:p w14:paraId="0DE06F8F" w14:textId="3530292C"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62474B9" w14:textId="13A8522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F9ECAC0" w14:textId="3B657658"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9D5172B" w14:textId="3E79DA52"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5CB3503" w14:textId="77777777" w:rsidTr="00676017">
        <w:trPr>
          <w:trHeight w:val="445"/>
        </w:trPr>
        <w:tc>
          <w:tcPr>
            <w:tcW w:w="3729" w:type="dxa"/>
            <w:tcBorders>
              <w:top w:val="single" w:sz="6" w:space="0" w:color="000000"/>
              <w:bottom w:val="single" w:sz="6" w:space="0" w:color="000000"/>
            </w:tcBorders>
            <w:vAlign w:val="center"/>
          </w:tcPr>
          <w:p w14:paraId="4A1C4F62" w14:textId="703E887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1E31CD" w14:textId="2A06BFA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0695F17" w14:textId="5FF37C4D"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571B220" w14:textId="1AF481D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9DAD5F7" w14:textId="77777777" w:rsidTr="00676017">
        <w:trPr>
          <w:trHeight w:val="445"/>
        </w:trPr>
        <w:tc>
          <w:tcPr>
            <w:tcW w:w="3729" w:type="dxa"/>
            <w:tcBorders>
              <w:top w:val="single" w:sz="6" w:space="0" w:color="000000"/>
              <w:bottom w:val="single" w:sz="6" w:space="0" w:color="000000"/>
            </w:tcBorders>
            <w:vAlign w:val="center"/>
          </w:tcPr>
          <w:p w14:paraId="4DCFA833" w14:textId="3127111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2748458" w14:textId="42C696D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05F950" w14:textId="57956B8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3A47A1" w14:textId="1A4B077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EF354A3" w14:textId="77777777" w:rsidTr="00676017">
        <w:trPr>
          <w:trHeight w:val="445"/>
        </w:trPr>
        <w:tc>
          <w:tcPr>
            <w:tcW w:w="3729" w:type="dxa"/>
            <w:tcBorders>
              <w:top w:val="single" w:sz="6" w:space="0" w:color="000000"/>
              <w:bottom w:val="single" w:sz="6" w:space="0" w:color="000000"/>
            </w:tcBorders>
            <w:vAlign w:val="center"/>
          </w:tcPr>
          <w:p w14:paraId="08353086" w14:textId="35B7EBD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B933262" w14:textId="6BDE61A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900D229" w14:textId="4D5439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F8B52C7" w14:textId="333D1ED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72B5D81" w14:textId="77777777" w:rsidTr="00676017">
        <w:trPr>
          <w:trHeight w:val="445"/>
        </w:trPr>
        <w:tc>
          <w:tcPr>
            <w:tcW w:w="3729" w:type="dxa"/>
            <w:tcBorders>
              <w:top w:val="single" w:sz="6" w:space="0" w:color="000000"/>
              <w:bottom w:val="single" w:sz="6" w:space="0" w:color="000000"/>
            </w:tcBorders>
            <w:vAlign w:val="center"/>
          </w:tcPr>
          <w:p w14:paraId="6560873F" w14:textId="4AD5F1F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157AD" w14:textId="0CB1010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6FD4EE1" w14:textId="7D81310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EC7EF12" w14:textId="604297F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9618728" w14:textId="77777777" w:rsidTr="00676017">
        <w:trPr>
          <w:trHeight w:val="445"/>
        </w:trPr>
        <w:tc>
          <w:tcPr>
            <w:tcW w:w="3729" w:type="dxa"/>
            <w:tcBorders>
              <w:top w:val="single" w:sz="6" w:space="0" w:color="000000"/>
              <w:bottom w:val="single" w:sz="6" w:space="0" w:color="000000"/>
            </w:tcBorders>
            <w:vAlign w:val="center"/>
          </w:tcPr>
          <w:p w14:paraId="1D7FF526" w14:textId="49E12E7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EC64DB" w14:textId="5EC176E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E60C4A" w14:textId="3EFC7C8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72277B" w14:textId="7742086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91F2632" w14:textId="77777777" w:rsidTr="00676017">
        <w:trPr>
          <w:trHeight w:val="445"/>
        </w:trPr>
        <w:tc>
          <w:tcPr>
            <w:tcW w:w="3729" w:type="dxa"/>
            <w:tcBorders>
              <w:top w:val="single" w:sz="6" w:space="0" w:color="000000"/>
              <w:bottom w:val="single" w:sz="6" w:space="0" w:color="000000"/>
            </w:tcBorders>
            <w:vAlign w:val="center"/>
          </w:tcPr>
          <w:p w14:paraId="47C7A111" w14:textId="3B485A1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7ADB72" w14:textId="61B3F62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418F31" w14:textId="4FF6DD94"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1EF80F" w14:textId="4C9F656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72CC1971"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17D0EFA7" w14:textId="38511046" w:rsidR="007F1E6A" w:rsidRPr="00D164D8" w:rsidRDefault="007F1E6A" w:rsidP="007F1E6A">
      <w:pPr>
        <w:tabs>
          <w:tab w:val="left" w:pos="567"/>
          <w:tab w:val="left" w:pos="1134"/>
          <w:tab w:val="left" w:pos="3119"/>
          <w:tab w:val="left" w:pos="4395"/>
          <w:tab w:val="right" w:pos="8080"/>
        </w:tabs>
        <w:spacing w:after="120"/>
        <w:rPr>
          <w:b/>
          <w:sz w:val="24"/>
          <w:u w:val="single"/>
        </w:rPr>
      </w:pPr>
    </w:p>
    <w:p w14:paraId="46CB3295" w14:textId="77777777" w:rsidR="00A55C29" w:rsidRDefault="00A55C29" w:rsidP="00821414">
      <w:pPr>
        <w:pStyle w:val="Heading1"/>
        <w:sectPr w:rsidR="00A55C29" w:rsidSect="00982053">
          <w:pgSz w:w="11907" w:h="16840" w:code="9"/>
          <w:pgMar w:top="1247" w:right="1247" w:bottom="1418" w:left="1418" w:header="567" w:footer="397" w:gutter="0"/>
          <w:cols w:space="708"/>
          <w:titlePg/>
          <w:docGrid w:linePitch="360"/>
        </w:sectPr>
      </w:pPr>
      <w:bookmarkStart w:id="143" w:name="_Ref51858295"/>
      <w:bookmarkEnd w:id="85"/>
    </w:p>
    <w:p w14:paraId="2F4387DF" w14:textId="4A5E1957" w:rsidR="00CE0C2C" w:rsidRPr="004950D6" w:rsidRDefault="00FE4DE4" w:rsidP="002F7F4F">
      <w:pPr>
        <w:pStyle w:val="Heading1"/>
        <w:pBdr>
          <w:bottom w:val="single" w:sz="4" w:space="1" w:color="auto"/>
        </w:pBdr>
        <w:spacing w:after="360"/>
      </w:pPr>
      <w:bookmarkStart w:id="144" w:name="_Ref141923670"/>
      <w:r>
        <w:lastRenderedPageBreak/>
        <w:t xml:space="preserve">Schedule </w:t>
      </w:r>
      <w:r w:rsidR="00390861">
        <w:t>K</w:t>
      </w:r>
      <w:r w:rsidR="00821414" w:rsidRPr="004950D6">
        <w:t xml:space="preserve"> – Technical Data</w:t>
      </w:r>
      <w:bookmarkEnd w:id="86"/>
      <w:bookmarkEnd w:id="143"/>
      <w:bookmarkEnd w:id="144"/>
    </w:p>
    <w:tbl>
      <w:tblPr>
        <w:tblStyle w:val="TableGrid"/>
        <w:tblW w:w="0" w:type="auto"/>
        <w:tblLook w:val="04A0" w:firstRow="1" w:lastRow="0" w:firstColumn="1" w:lastColumn="0" w:noHBand="0" w:noVBand="1"/>
      </w:tblPr>
      <w:tblGrid>
        <w:gridCol w:w="9172"/>
      </w:tblGrid>
      <w:tr w:rsidR="009F5306" w14:paraId="4DC842DB" w14:textId="77777777" w:rsidTr="00105D5C">
        <w:trPr>
          <w:trHeight w:val="509"/>
        </w:trPr>
        <w:tc>
          <w:tcPr>
            <w:tcW w:w="9172" w:type="dxa"/>
            <w:shd w:val="clear" w:color="auto" w:fill="F2F2F2" w:themeFill="background1" w:themeFillShade="F2"/>
          </w:tcPr>
          <w:p w14:paraId="5D457C8E" w14:textId="14E2FF00" w:rsidR="009F5306" w:rsidRPr="00105D5C" w:rsidRDefault="009F5306" w:rsidP="00105D5C">
            <w:pPr>
              <w:pStyle w:val="Heading2"/>
              <w:rPr>
                <w:sz w:val="18"/>
                <w:szCs w:val="28"/>
              </w:rPr>
            </w:pPr>
            <w:r w:rsidRPr="00781E31">
              <w:rPr>
                <w:sz w:val="18"/>
                <w:szCs w:val="28"/>
              </w:rPr>
              <w:t>Schedule K1 – Technical Data</w:t>
            </w:r>
          </w:p>
        </w:tc>
      </w:tr>
      <w:tr w:rsidR="009F5306" w14:paraId="6986FD2F" w14:textId="77777777" w:rsidTr="00676017">
        <w:trPr>
          <w:trHeight w:val="453"/>
        </w:trPr>
        <w:tc>
          <w:tcPr>
            <w:tcW w:w="9172" w:type="dxa"/>
            <w:shd w:val="clear" w:color="auto" w:fill="F2F2F2" w:themeFill="background1" w:themeFillShade="F2"/>
          </w:tcPr>
          <w:p w14:paraId="16B99B49" w14:textId="7C1DEE2D"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601A93EF" w14:textId="77777777" w:rsidTr="00676017">
        <w:trPr>
          <w:trHeight w:val="3577"/>
        </w:trPr>
        <w:tc>
          <w:tcPr>
            <w:tcW w:w="9172"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982053">
          <w:pgSz w:w="11907" w:h="16840" w:code="9"/>
          <w:pgMar w:top="1247" w:right="1247" w:bottom="1418" w:left="1418" w:header="567" w:footer="397" w:gutter="0"/>
          <w:cols w:space="708"/>
          <w:titlePg/>
          <w:docGrid w:linePitch="360"/>
        </w:sectPr>
      </w:pPr>
    </w:p>
    <w:p w14:paraId="1F173C33" w14:textId="01F24ECF" w:rsidR="00390861" w:rsidRPr="004950D6" w:rsidRDefault="00390861" w:rsidP="00B21EA9">
      <w:pPr>
        <w:pStyle w:val="Heading1"/>
        <w:pBdr>
          <w:bottom w:val="single" w:sz="4" w:space="1" w:color="auto"/>
        </w:pBdr>
        <w:spacing w:after="360"/>
      </w:pPr>
      <w:bookmarkStart w:id="145" w:name="_Ref142427462"/>
      <w:r>
        <w:lastRenderedPageBreak/>
        <w:t>Schedule L</w:t>
      </w:r>
      <w:r w:rsidRPr="004950D6">
        <w:t xml:space="preserve"> – Statement of Departures</w:t>
      </w:r>
      <w:bookmarkEnd w:id="145"/>
    </w:p>
    <w:tbl>
      <w:tblPr>
        <w:tblStyle w:val="TableGrid"/>
        <w:tblW w:w="9192" w:type="dxa"/>
        <w:tblInd w:w="-5" w:type="dxa"/>
        <w:tblLayout w:type="fixed"/>
        <w:tblLook w:val="04A0" w:firstRow="1" w:lastRow="0" w:firstColumn="1" w:lastColumn="0" w:noHBand="0" w:noVBand="1"/>
      </w:tblPr>
      <w:tblGrid>
        <w:gridCol w:w="1828"/>
        <w:gridCol w:w="3756"/>
        <w:gridCol w:w="2137"/>
        <w:gridCol w:w="1471"/>
      </w:tblGrid>
      <w:tr w:rsidR="00390861" w:rsidRPr="00131F08" w14:paraId="2D07683E" w14:textId="77777777" w:rsidTr="00676017">
        <w:trPr>
          <w:trHeight w:val="575"/>
          <w:tblHeader/>
        </w:trPr>
        <w:tc>
          <w:tcPr>
            <w:tcW w:w="9192" w:type="dxa"/>
            <w:gridSpan w:val="4"/>
            <w:shd w:val="clear" w:color="auto" w:fill="F2F2F2" w:themeFill="background1" w:themeFillShade="F2"/>
            <w:vAlign w:val="center"/>
          </w:tcPr>
          <w:p w14:paraId="4BE86214" w14:textId="4F1BC8E7" w:rsidR="00390861" w:rsidRPr="00F80753" w:rsidRDefault="00390861" w:rsidP="008156CD">
            <w:pPr>
              <w:pStyle w:val="Heading2"/>
            </w:pPr>
            <w:r w:rsidRPr="00781E31">
              <w:rPr>
                <w:sz w:val="18"/>
                <w:szCs w:val="28"/>
              </w:rPr>
              <w:t>Schedule L1 – Statement of Departures</w:t>
            </w:r>
          </w:p>
        </w:tc>
      </w:tr>
      <w:tr w:rsidR="00390861" w:rsidRPr="00131F08" w14:paraId="1B377392" w14:textId="77777777" w:rsidTr="00676017">
        <w:trPr>
          <w:trHeight w:val="1280"/>
          <w:tblHeader/>
        </w:trPr>
        <w:tc>
          <w:tcPr>
            <w:tcW w:w="9192"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the amendment, qualification or departure proposed;</w:t>
            </w:r>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34B101C6" w14:textId="77777777" w:rsidTr="00676017">
        <w:trPr>
          <w:trHeight w:val="381"/>
          <w:tblHeader/>
        </w:trPr>
        <w:tc>
          <w:tcPr>
            <w:tcW w:w="9192"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492E7840" w14:textId="77777777" w:rsidTr="00676017">
        <w:trPr>
          <w:trHeight w:val="716"/>
          <w:tblHeader/>
        </w:trPr>
        <w:tc>
          <w:tcPr>
            <w:tcW w:w="1828"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Reduction or increase in Price ($AUD) if amendment, qualification or departure is accepted.*</w:t>
            </w:r>
          </w:p>
        </w:tc>
      </w:tr>
      <w:tr w:rsidR="00390861" w:rsidRPr="00131F08" w14:paraId="04298D4F" w14:textId="77777777" w:rsidTr="00676017">
        <w:trPr>
          <w:trHeight w:val="822"/>
        </w:trPr>
        <w:tc>
          <w:tcPr>
            <w:tcW w:w="1828"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676017">
        <w:trPr>
          <w:trHeight w:val="841"/>
        </w:trPr>
        <w:tc>
          <w:tcPr>
            <w:tcW w:w="1828"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676017">
        <w:trPr>
          <w:trHeight w:val="822"/>
        </w:trPr>
        <w:tc>
          <w:tcPr>
            <w:tcW w:w="1828"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676017">
        <w:trPr>
          <w:trHeight w:val="841"/>
        </w:trPr>
        <w:tc>
          <w:tcPr>
            <w:tcW w:w="1828"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676017">
        <w:trPr>
          <w:trHeight w:val="822"/>
        </w:trPr>
        <w:tc>
          <w:tcPr>
            <w:tcW w:w="1828"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676017">
        <w:trPr>
          <w:trHeight w:val="626"/>
        </w:trPr>
        <w:tc>
          <w:tcPr>
            <w:tcW w:w="9192"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982053">
          <w:pgSz w:w="11907" w:h="16840" w:code="9"/>
          <w:pgMar w:top="1247" w:right="1247" w:bottom="1418" w:left="1418" w:header="567" w:footer="397" w:gutter="0"/>
          <w:cols w:space="708"/>
          <w:titlePg/>
          <w:docGrid w:linePitch="360"/>
        </w:sectPr>
      </w:pPr>
    </w:p>
    <w:p w14:paraId="553050DC" w14:textId="6C641B93" w:rsidR="00821414" w:rsidRPr="004950D6" w:rsidRDefault="00FE4DE4" w:rsidP="002F7F4F">
      <w:pPr>
        <w:pStyle w:val="Heading1"/>
        <w:pBdr>
          <w:bottom w:val="single" w:sz="4" w:space="1" w:color="auto"/>
        </w:pBdr>
        <w:spacing w:after="360"/>
      </w:pPr>
      <w:bookmarkStart w:id="146" w:name="_Ref535494935"/>
      <w:r>
        <w:lastRenderedPageBreak/>
        <w:t>Schedule M</w:t>
      </w:r>
      <w:r w:rsidR="00821414" w:rsidRPr="004950D6">
        <w:t xml:space="preserve"> – Additional Information</w:t>
      </w:r>
      <w:bookmarkEnd w:id="146"/>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982053">
          <w:headerReference w:type="first" r:id="rId39"/>
          <w:footerReference w:type="first" r:id="rId40"/>
          <w:pgSz w:w="11907" w:h="16840" w:code="9"/>
          <w:pgMar w:top="1247" w:right="1247" w:bottom="1418" w:left="1418" w:header="567" w:footer="397" w:gutter="0"/>
          <w:cols w:space="708"/>
          <w:titlePg/>
          <w:docGrid w:linePitch="360"/>
        </w:sectPr>
      </w:pPr>
      <w:bookmarkStart w:id="147" w:name="_Ref51858307"/>
      <w:bookmarkStart w:id="148" w:name="_Ref535854629"/>
    </w:p>
    <w:p w14:paraId="0370AC5F" w14:textId="0A5926AB" w:rsidR="00EE1653" w:rsidRPr="004950D6" w:rsidRDefault="00FE4DE4" w:rsidP="002F7F4F">
      <w:pPr>
        <w:pStyle w:val="Heading1"/>
        <w:pBdr>
          <w:bottom w:val="single" w:sz="4" w:space="1" w:color="auto"/>
        </w:pBdr>
        <w:spacing w:after="360"/>
      </w:pPr>
      <w:bookmarkStart w:id="149" w:name="_Ref141923681"/>
      <w:r>
        <w:lastRenderedPageBreak/>
        <w:t>Schedule N</w:t>
      </w:r>
      <w:r w:rsidR="00EE1653" w:rsidRPr="004950D6">
        <w:t xml:space="preserve"> – Australian Government Work Health and Safety Accreditation Scheme</w:t>
      </w:r>
      <w:bookmarkEnd w:id="147"/>
      <w:bookmarkEnd w:id="148"/>
      <w:bookmarkEnd w:id="149"/>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(Cth), at the time of entering into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05D5C">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5"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Yes or No</w:t>
            </w:r>
          </w:p>
        </w:tc>
      </w:tr>
      <w:tr w:rsidR="004950D6" w:rsidRPr="004950D6" w14:paraId="574FBE2A" w14:textId="77777777" w:rsidTr="00105D5C">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2BA45356"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5" w:type="dxa"/>
            <w:shd w:val="clear" w:color="auto" w:fill="auto"/>
            <w:vAlign w:val="center"/>
          </w:tcPr>
          <w:p w14:paraId="79C00A15" w14:textId="7A9F21DE" w:rsidR="004950D6" w:rsidRPr="00781E31" w:rsidRDefault="006A037B"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05D5C">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5" w:type="dxa"/>
            <w:shd w:val="clear" w:color="auto" w:fill="auto"/>
            <w:vAlign w:val="center"/>
          </w:tcPr>
          <w:p w14:paraId="03CB5B8B" w14:textId="33E62966" w:rsidR="004950D6" w:rsidRPr="00781E31" w:rsidRDefault="006A037B"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05D5C">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5" w:type="dxa"/>
            <w:shd w:val="clear" w:color="auto" w:fill="auto"/>
            <w:vAlign w:val="center"/>
          </w:tcPr>
          <w:p w14:paraId="5EF501AE" w14:textId="653DA48D" w:rsidR="004950D6" w:rsidRPr="00781E31" w:rsidRDefault="006A037B"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p w14:paraId="745B5C2C" w14:textId="77777777" w:rsidR="004950D6" w:rsidRDefault="004950D6" w:rsidP="002A2375">
      <w:pPr>
        <w:sectPr w:rsidR="004950D6" w:rsidSect="00982053">
          <w:pgSz w:w="11907" w:h="16840" w:code="9"/>
          <w:pgMar w:top="1247" w:right="1247" w:bottom="1418" w:left="1418" w:header="567" w:footer="397" w:gutter="0"/>
          <w:cols w:space="708"/>
          <w:titlePg/>
          <w:docGrid w:linePitch="360"/>
        </w:sectPr>
      </w:pPr>
    </w:p>
    <w:p w14:paraId="231140BD" w14:textId="464C17D9" w:rsidR="00C81396" w:rsidRPr="004950D6" w:rsidRDefault="0077164A" w:rsidP="002F7F4F">
      <w:pPr>
        <w:pStyle w:val="Heading1"/>
        <w:pBdr>
          <w:bottom w:val="single" w:sz="4" w:space="1" w:color="auto"/>
        </w:pBdr>
        <w:spacing w:after="360"/>
      </w:pPr>
      <w:bookmarkStart w:id="150" w:name="_Ref535854928"/>
      <w:bookmarkStart w:id="151" w:name="_Ref51858310"/>
      <w:r>
        <w:lastRenderedPageBreak/>
        <w:t>Schedule O</w:t>
      </w:r>
      <w:r w:rsidR="00C81396" w:rsidRPr="004950D6">
        <w:t xml:space="preserve"> – Queensland Code of Practice for the Building and Construction Industry</w:t>
      </w:r>
      <w:bookmarkEnd w:id="150"/>
      <w:bookmarkEnd w:id="151"/>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3397E88A" w14:textId="77777777" w:rsidTr="0017671A">
        <w:trPr>
          <w:trHeight w:val="140"/>
        </w:trPr>
        <w:tc>
          <w:tcPr>
            <w:tcW w:w="9279" w:type="dxa"/>
            <w:gridSpan w:val="2"/>
            <w:shd w:val="clear" w:color="auto" w:fill="D9D9D9"/>
            <w:vAlign w:val="center"/>
          </w:tcPr>
          <w:p w14:paraId="14F5C51F" w14:textId="61510344"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B4CAB1" w14:textId="77777777" w:rsidTr="0017671A">
        <w:trPr>
          <w:trHeight w:val="140"/>
        </w:trPr>
        <w:tc>
          <w:tcPr>
            <w:tcW w:w="9279" w:type="dxa"/>
            <w:gridSpan w:val="2"/>
            <w:shd w:val="clear" w:color="auto" w:fill="D9D9D9"/>
            <w:vAlign w:val="center"/>
          </w:tcPr>
          <w:p w14:paraId="5754A117" w14:textId="0B9DADFC"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Principal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14C37DA5" w14:textId="77777777" w:rsidTr="0017671A">
        <w:trPr>
          <w:trHeight w:val="140"/>
        </w:trPr>
        <w:tc>
          <w:tcPr>
            <w:tcW w:w="9279" w:type="dxa"/>
            <w:gridSpan w:val="2"/>
            <w:shd w:val="clear" w:color="auto" w:fill="D9D9D9"/>
            <w:vAlign w:val="center"/>
          </w:tcPr>
          <w:p w14:paraId="32C0427D" w14:textId="48EC920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2A4838C0" w14:textId="77777777" w:rsidTr="0017671A">
        <w:trPr>
          <w:trHeight w:val="1376"/>
        </w:trPr>
        <w:tc>
          <w:tcPr>
            <w:tcW w:w="9279" w:type="dxa"/>
            <w:gridSpan w:val="2"/>
            <w:shd w:val="clear" w:color="auto" w:fill="auto"/>
            <w:vAlign w:val="center"/>
          </w:tcPr>
          <w:p w14:paraId="6A3F11D1"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09B6834" w14:textId="2072DFFB"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34F94E3C" w14:textId="5315ADCC"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r w:rsidR="00FA417C" w:rsidRPr="004950D6">
              <w:rPr>
                <w:sz w:val="18"/>
                <w:szCs w:val="18"/>
              </w:rPr>
              <w:t>Response</w:t>
            </w:r>
            <w:r w:rsidR="00560039">
              <w:rPr>
                <w:sz w:val="18"/>
                <w:szCs w:val="18"/>
              </w:rPr>
              <w:t>;</w:t>
            </w:r>
          </w:p>
          <w:p w14:paraId="5B3B283D"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0783A134" w14:textId="01B95D9B" w:rsidR="00C81396" w:rsidRPr="004950D6" w:rsidRDefault="00C81396" w:rsidP="00B77007">
            <w:pPr>
              <w:pStyle w:val="OLNumber4"/>
              <w:spacing w:before="120" w:after="120"/>
              <w:rPr>
                <w:sz w:val="18"/>
                <w:szCs w:val="18"/>
              </w:rPr>
            </w:pPr>
            <w:r w:rsidRPr="004950D6">
              <w:rPr>
                <w:sz w:val="18"/>
                <w:szCs w:val="18"/>
              </w:rPr>
              <w:t xml:space="preserve">the project the subject of this </w:t>
            </w:r>
            <w:r w:rsidR="00FA417C" w:rsidRPr="004950D6">
              <w:rPr>
                <w:sz w:val="18"/>
                <w:szCs w:val="18"/>
              </w:rPr>
              <w:t>Response</w:t>
            </w:r>
            <w:r w:rsidR="00560039">
              <w:rPr>
                <w:sz w:val="18"/>
                <w:szCs w:val="18"/>
              </w:rPr>
              <w:t>;</w:t>
            </w:r>
          </w:p>
          <w:p w14:paraId="5FCBF0BA" w14:textId="70EE9E5E"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r w:rsidR="00560039">
              <w:rPr>
                <w:sz w:val="18"/>
                <w:szCs w:val="18"/>
              </w:rPr>
              <w:t>;</w:t>
            </w:r>
          </w:p>
          <w:p w14:paraId="2DDEE930"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5BA49334" w14:textId="60FE2CB2" w:rsidR="00C81396" w:rsidRPr="004950D6" w:rsidRDefault="00C81396" w:rsidP="00B77007">
            <w:pPr>
              <w:pStyle w:val="OLNumber4"/>
              <w:spacing w:before="120" w:after="120"/>
              <w:rPr>
                <w:sz w:val="18"/>
                <w:szCs w:val="18"/>
              </w:rPr>
            </w:pPr>
            <w:r w:rsidRPr="004950D6">
              <w:rPr>
                <w:sz w:val="18"/>
                <w:szCs w:val="18"/>
              </w:rPr>
              <w:t>the Queensland Code on all its other projects to which the Queensland Code applies or has been applied</w:t>
            </w:r>
            <w:r w:rsidR="00560039">
              <w:rPr>
                <w:sz w:val="18"/>
                <w:szCs w:val="18"/>
              </w:rPr>
              <w:t>;</w:t>
            </w:r>
          </w:p>
          <w:p w14:paraId="53B017A4" w14:textId="7118972C"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68F79650" w14:textId="3B28489B"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7D4E5E7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428BE309" w14:textId="101B3A2A"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0B91B367" w14:textId="0430DF62" w:rsidR="00C81396" w:rsidRPr="004950D6" w:rsidRDefault="00C81396" w:rsidP="00B77007">
            <w:pPr>
              <w:pStyle w:val="OLNumber3"/>
              <w:spacing w:before="120" w:after="120"/>
              <w:rPr>
                <w:sz w:val="18"/>
                <w:szCs w:val="18"/>
              </w:rPr>
            </w:pPr>
            <w:r w:rsidRPr="004950D6">
              <w:rPr>
                <w:sz w:val="18"/>
                <w:szCs w:val="18"/>
              </w:rPr>
              <w:t>a formal warning that a further breach will lead to severe sanctions</w:t>
            </w:r>
            <w:r w:rsidR="00560039">
              <w:rPr>
                <w:sz w:val="18"/>
                <w:szCs w:val="18"/>
              </w:rPr>
              <w:t>;</w:t>
            </w:r>
          </w:p>
          <w:p w14:paraId="6F9C35CE" w14:textId="61F6604E" w:rsidR="00C81396" w:rsidRPr="004950D6" w:rsidRDefault="00C81396" w:rsidP="00B77007">
            <w:pPr>
              <w:pStyle w:val="OLNumber3"/>
              <w:spacing w:before="120" w:after="120"/>
              <w:rPr>
                <w:sz w:val="18"/>
                <w:szCs w:val="18"/>
              </w:rPr>
            </w:pPr>
            <w:r w:rsidRPr="004950D6">
              <w:rPr>
                <w:sz w:val="18"/>
                <w:szCs w:val="18"/>
              </w:rPr>
              <w:t>referral of a complaint to the relevant industry organisation for assessment against its own professional code of conduct and appropriate action</w:t>
            </w:r>
            <w:r w:rsidR="00560039">
              <w:rPr>
                <w:sz w:val="18"/>
                <w:szCs w:val="18"/>
              </w:rPr>
              <w:t>;</w:t>
            </w:r>
          </w:p>
          <w:p w14:paraId="56C9134D" w14:textId="43D988E5" w:rsidR="00C81396" w:rsidRPr="004950D6" w:rsidRDefault="00C81396" w:rsidP="00B77007">
            <w:pPr>
              <w:pStyle w:val="OLNumber3"/>
              <w:spacing w:before="120" w:after="120"/>
              <w:rPr>
                <w:sz w:val="18"/>
                <w:szCs w:val="18"/>
              </w:rPr>
            </w:pPr>
            <w:r w:rsidRPr="004950D6">
              <w:rPr>
                <w:sz w:val="18"/>
                <w:szCs w:val="18"/>
              </w:rPr>
              <w:t>reduction in tendering opportunities at either agency or government-wide level, for example, by exclusion of the breaching party from tendering for government work above a certain value, or for a specified period</w:t>
            </w:r>
            <w:r w:rsidR="00560039">
              <w:rPr>
                <w:sz w:val="18"/>
                <w:szCs w:val="18"/>
              </w:rPr>
              <w:t>;</w:t>
            </w:r>
          </w:p>
          <w:p w14:paraId="7AF6475D" w14:textId="62F97461"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551CA52F" w14:textId="4ACA2D61"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6F9D337"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7928C855" w14:textId="50BC8198"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C9A5F8A" w14:textId="6629BEE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394FF1F2" w14:textId="6BDD2161"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4B01AF53" w14:textId="16F295D7" w:rsidR="00C81396" w:rsidRPr="004950D6" w:rsidRDefault="00C81396" w:rsidP="00B77007">
            <w:pPr>
              <w:pStyle w:val="OLNumber3"/>
              <w:spacing w:before="120" w:after="120"/>
              <w:rPr>
                <w:sz w:val="18"/>
                <w:szCs w:val="18"/>
              </w:rPr>
            </w:pPr>
            <w:r w:rsidRPr="004950D6">
              <w:rPr>
                <w:sz w:val="18"/>
                <w:szCs w:val="18"/>
              </w:rPr>
              <w:t>the exercise of their statutory or portfolio responsibilities</w:t>
            </w:r>
            <w:r w:rsidR="00560039">
              <w:rPr>
                <w:sz w:val="18"/>
                <w:szCs w:val="18"/>
              </w:rPr>
              <w:t>;</w:t>
            </w:r>
          </w:p>
          <w:p w14:paraId="1AAFD7E6" w14:textId="718482CB"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r w:rsidR="002F6E73" w:rsidRPr="004950D6">
              <w:rPr>
                <w:sz w:val="18"/>
                <w:szCs w:val="18"/>
              </w:rPr>
              <w:t>R</w:t>
            </w:r>
            <w:r w:rsidRPr="004950D6">
              <w:rPr>
                <w:sz w:val="18"/>
                <w:szCs w:val="18"/>
              </w:rPr>
              <w:t>esponse</w:t>
            </w:r>
            <w:r w:rsidR="002F6E73" w:rsidRPr="004950D6">
              <w:rPr>
                <w:sz w:val="18"/>
                <w:szCs w:val="18"/>
              </w:rPr>
              <w:t>;</w:t>
            </w:r>
          </w:p>
          <w:p w14:paraId="66FA56BD"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2CDE75BD"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6D57AEC5" w14:textId="5A9BBDF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57D8B6F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2FF04E97" w14:textId="23D37B1C"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3103D26B"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7AAC2B5C" w14:textId="736B2275" w:rsidR="00C81396" w:rsidRPr="004950D6" w:rsidRDefault="00C81396" w:rsidP="00B77007">
            <w:pPr>
              <w:pStyle w:val="OLNumber4"/>
              <w:spacing w:before="120" w:after="120"/>
              <w:rPr>
                <w:sz w:val="18"/>
                <w:szCs w:val="18"/>
              </w:rPr>
            </w:pPr>
            <w:r w:rsidRPr="004950D6">
              <w:rPr>
                <w:sz w:val="18"/>
                <w:szCs w:val="18"/>
              </w:rPr>
              <w:t>access the project site and other premises</w:t>
            </w:r>
            <w:r w:rsidR="00560039">
              <w:rPr>
                <w:sz w:val="18"/>
                <w:szCs w:val="18"/>
              </w:rPr>
              <w:t>;</w:t>
            </w:r>
          </w:p>
          <w:p w14:paraId="3A08561E" w14:textId="7015DC09"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6CDC93BD" w14:textId="11A73717" w:rsidR="00C81396" w:rsidRPr="004950D6" w:rsidRDefault="00C81396" w:rsidP="00B77007">
            <w:pPr>
              <w:pStyle w:val="OLNumber4"/>
              <w:spacing w:before="120" w:after="120"/>
              <w:rPr>
                <w:sz w:val="18"/>
                <w:szCs w:val="18"/>
              </w:rPr>
            </w:pPr>
            <w:r w:rsidRPr="004950D6">
              <w:rPr>
                <w:sz w:val="18"/>
                <w:szCs w:val="18"/>
              </w:rPr>
              <w:t>inspect any work, material, machinery, appliance, article, or facility</w:t>
            </w:r>
            <w:r w:rsidR="00560039">
              <w:rPr>
                <w:sz w:val="18"/>
                <w:szCs w:val="18"/>
              </w:rPr>
              <w:t>;</w:t>
            </w:r>
          </w:p>
          <w:p w14:paraId="651CA781" w14:textId="4A4E4650"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752E4CB" w14:textId="2DEEE2BE"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62200CEC" w14:textId="5981A347" w:rsidR="00C81396" w:rsidRPr="004950D6" w:rsidRDefault="00C81396" w:rsidP="00B77007">
            <w:pPr>
              <w:pStyle w:val="TableBodyText"/>
              <w:widowControl w:val="0"/>
              <w:spacing w:before="120" w:after="120"/>
              <w:ind w:left="1440"/>
              <w:rPr>
                <w:sz w:val="18"/>
                <w:szCs w:val="18"/>
              </w:rPr>
            </w:pPr>
            <w:r w:rsidRPr="004950D6">
              <w:rPr>
                <w:sz w:val="18"/>
                <w:szCs w:val="18"/>
              </w:rPr>
              <w:t>as is necessary to demonstrate compliance with the Queensland Code</w:t>
            </w:r>
            <w:r w:rsidR="00560039">
              <w:rPr>
                <w:sz w:val="18"/>
                <w:szCs w:val="18"/>
              </w:rPr>
              <w:t>;</w:t>
            </w:r>
          </w:p>
          <w:p w14:paraId="029C9706" w14:textId="1D56804D"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breach</w:t>
            </w:r>
            <w:r w:rsidR="00560039">
              <w:rPr>
                <w:sz w:val="18"/>
                <w:szCs w:val="18"/>
              </w:rPr>
              <w:t>;</w:t>
            </w:r>
          </w:p>
          <w:p w14:paraId="4C5A7A20" w14:textId="1A84B968" w:rsidR="00C81396" w:rsidRPr="004950D6" w:rsidRDefault="00C81396" w:rsidP="00B77007">
            <w:pPr>
              <w:pStyle w:val="OLNumber3"/>
              <w:spacing w:before="120" w:after="120"/>
              <w:rPr>
                <w:sz w:val="18"/>
                <w:szCs w:val="18"/>
              </w:rPr>
            </w:pPr>
            <w:r w:rsidRPr="004950D6">
              <w:rPr>
                <w:sz w:val="18"/>
                <w:szCs w:val="18"/>
              </w:rPr>
              <w:t>(for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dispute</w:t>
            </w:r>
            <w:r w:rsidR="00560039">
              <w:rPr>
                <w:sz w:val="18"/>
                <w:szCs w:val="18"/>
              </w:rPr>
              <w:t>;</w:t>
            </w:r>
          </w:p>
          <w:p w14:paraId="460BF944" w14:textId="70C97D6E" w:rsidR="00C81396" w:rsidRPr="004950D6" w:rsidRDefault="00C81396" w:rsidP="00B77007">
            <w:pPr>
              <w:pStyle w:val="OLNumber3"/>
              <w:spacing w:before="120" w:after="120"/>
              <w:rPr>
                <w:sz w:val="18"/>
                <w:szCs w:val="18"/>
              </w:rPr>
            </w:pPr>
            <w:r w:rsidRPr="004950D6">
              <w:rPr>
                <w:sz w:val="18"/>
                <w:szCs w:val="18"/>
              </w:rPr>
              <w:t>report any threatened or actual industrial action that may impact the project, project costs, related contracts or timelines to the Client Agency within 24 hours and provide regular updates about the steps being taken to resolve the threatened or actual industrial action</w:t>
            </w:r>
            <w:r w:rsidR="00560039">
              <w:rPr>
                <w:sz w:val="18"/>
                <w:szCs w:val="18"/>
              </w:rPr>
              <w:t>;</w:t>
            </w:r>
          </w:p>
          <w:p w14:paraId="546675CD" w14:textId="28C6C19E"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9C219FA" w14:textId="77777777" w:rsidR="00C81396" w:rsidRPr="004950D6" w:rsidRDefault="00C81396" w:rsidP="00B77007">
            <w:pPr>
              <w:pStyle w:val="OLNumber3"/>
              <w:spacing w:before="120" w:after="120"/>
              <w:rPr>
                <w:sz w:val="18"/>
                <w:szCs w:val="18"/>
              </w:rPr>
            </w:pPr>
            <w:r w:rsidRPr="004950D6">
              <w:rPr>
                <w:sz w:val="18"/>
                <w:szCs w:val="18"/>
              </w:rPr>
              <w:t>take all reasonably available steps to prevent, or bring to an end,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266B8A3A" w14:textId="7A1BB63B"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06A29709"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2688DE15" w14:textId="142AFD6F"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6BBC8CBD" w14:textId="6BFE9B3E" w:rsidR="00C81396" w:rsidRPr="004950D6" w:rsidRDefault="00C81396" w:rsidP="00B77007">
            <w:pPr>
              <w:pStyle w:val="OLNumber3"/>
              <w:spacing w:before="120" w:after="120"/>
              <w:rPr>
                <w:sz w:val="18"/>
                <w:szCs w:val="18"/>
              </w:rPr>
            </w:pPr>
            <w:r w:rsidRPr="004950D6">
              <w:rPr>
                <w:sz w:val="18"/>
                <w:szCs w:val="18"/>
              </w:rPr>
              <w:t>comply with the Queensland Code</w:t>
            </w:r>
            <w:r w:rsidR="00560039">
              <w:rPr>
                <w:sz w:val="18"/>
                <w:szCs w:val="18"/>
              </w:rPr>
              <w:t>;</w:t>
            </w:r>
          </w:p>
          <w:p w14:paraId="3B7028F2" w14:textId="2196995A"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r w:rsidR="00560039">
              <w:rPr>
                <w:sz w:val="18"/>
                <w:szCs w:val="18"/>
              </w:rPr>
              <w:t>;</w:t>
            </w:r>
          </w:p>
          <w:p w14:paraId="58DF902C"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3AAD409" w14:textId="10FD4034" w:rsidR="00C81396" w:rsidRPr="004950D6" w:rsidRDefault="00C81396" w:rsidP="00B77007">
            <w:pPr>
              <w:pStyle w:val="OLNumber4"/>
              <w:spacing w:before="120" w:after="120"/>
              <w:rPr>
                <w:sz w:val="18"/>
                <w:szCs w:val="18"/>
              </w:rPr>
            </w:pPr>
            <w:r w:rsidRPr="004950D6">
              <w:rPr>
                <w:sz w:val="18"/>
                <w:szCs w:val="18"/>
              </w:rPr>
              <w:t>access the sites and premises</w:t>
            </w:r>
            <w:r w:rsidR="00560039">
              <w:rPr>
                <w:sz w:val="18"/>
                <w:szCs w:val="18"/>
              </w:rPr>
              <w:t>;</w:t>
            </w:r>
          </w:p>
          <w:p w14:paraId="1B950DE7" w14:textId="5E94CF00"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404305F9" w14:textId="685B3E67" w:rsidR="00C81396" w:rsidRPr="004950D6" w:rsidRDefault="00C81396" w:rsidP="00B77007">
            <w:pPr>
              <w:pStyle w:val="OLNumber4"/>
              <w:spacing w:before="120" w:after="120"/>
              <w:rPr>
                <w:sz w:val="18"/>
                <w:szCs w:val="18"/>
              </w:rPr>
            </w:pPr>
            <w:r w:rsidRPr="004950D6">
              <w:rPr>
                <w:sz w:val="18"/>
                <w:szCs w:val="18"/>
              </w:rPr>
              <w:lastRenderedPageBreak/>
              <w:t>inspect any work, material, machinery, appliance, article, or facility</w:t>
            </w:r>
            <w:r w:rsidR="00560039">
              <w:rPr>
                <w:sz w:val="18"/>
                <w:szCs w:val="18"/>
              </w:rPr>
              <w:t>;</w:t>
            </w:r>
          </w:p>
          <w:p w14:paraId="6648FDFE" w14:textId="1B7314A9"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944DFA1" w14:textId="3A964F5C"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0243DB9D" w14:textId="053FC27E"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004CCB63"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1D235509"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6F81E9FE" w14:textId="50494970"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65FA99E6" w14:textId="7A151AC9"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consultant</w:t>
            </w:r>
            <w:r w:rsidR="00560039">
              <w:rPr>
                <w:sz w:val="18"/>
                <w:szCs w:val="18"/>
              </w:rPr>
              <w:t>;</w:t>
            </w:r>
          </w:p>
          <w:p w14:paraId="59EF0AA8" w14:textId="35347679"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4278C3C5" w14:textId="5AAA630B"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2DFB3642" w14:textId="55A68CA3"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195D45B7" w14:textId="716E3BC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07D228D" w14:textId="77777777" w:rsidTr="0017671A">
        <w:trPr>
          <w:trHeight w:val="372"/>
        </w:trPr>
        <w:tc>
          <w:tcPr>
            <w:tcW w:w="2320" w:type="dxa"/>
            <w:shd w:val="clear" w:color="auto" w:fill="auto"/>
            <w:vAlign w:val="bottom"/>
          </w:tcPr>
          <w:p w14:paraId="1D44E3E5" w14:textId="0F43A4B2"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1F5C3C2C" w14:textId="3B98A950"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[RESPONDENT TO INSERT NAME OF SIGNATORY]</w:t>
            </w:r>
            <w:r w:rsidRPr="00781E31">
              <w:rPr>
                <w:sz w:val="18"/>
                <w:szCs w:val="18"/>
              </w:rPr>
              <w:fldChar w:fldCharType="end"/>
            </w:r>
          </w:p>
        </w:tc>
      </w:tr>
      <w:tr w:rsidR="00734568" w:rsidRPr="004950D6" w14:paraId="4B5BE0D1" w14:textId="77777777" w:rsidTr="0017671A">
        <w:trPr>
          <w:trHeight w:val="372"/>
        </w:trPr>
        <w:tc>
          <w:tcPr>
            <w:tcW w:w="2320" w:type="dxa"/>
            <w:shd w:val="clear" w:color="auto" w:fill="auto"/>
            <w:vAlign w:val="bottom"/>
          </w:tcPr>
          <w:p w14:paraId="5D61D7D6" w14:textId="1876BEC3"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10C40761" w14:textId="3B8C2838"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POSITION OF SIGNATORY] </w:t>
            </w:r>
            <w:r w:rsidRPr="00781E31">
              <w:rPr>
                <w:sz w:val="18"/>
                <w:szCs w:val="18"/>
              </w:rPr>
              <w:fldChar w:fldCharType="end"/>
            </w:r>
          </w:p>
        </w:tc>
      </w:tr>
      <w:tr w:rsidR="00734568" w:rsidRPr="004950D6" w14:paraId="260407EE" w14:textId="77777777" w:rsidTr="0017671A">
        <w:trPr>
          <w:trHeight w:val="355"/>
        </w:trPr>
        <w:tc>
          <w:tcPr>
            <w:tcW w:w="2320" w:type="dxa"/>
            <w:shd w:val="clear" w:color="auto" w:fill="auto"/>
            <w:vAlign w:val="bottom"/>
          </w:tcPr>
          <w:p w14:paraId="25FAD4AC" w14:textId="55B16A04"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1ECC7DD5" w14:textId="28261231"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SIGN] </w:t>
            </w:r>
            <w:r w:rsidRPr="00781E31">
              <w:rPr>
                <w:sz w:val="18"/>
                <w:szCs w:val="18"/>
              </w:rPr>
              <w:fldChar w:fldCharType="end"/>
            </w:r>
          </w:p>
        </w:tc>
      </w:tr>
      <w:tr w:rsidR="00734568" w:rsidRPr="004950D6" w14:paraId="3A76D0B7" w14:textId="77777777" w:rsidTr="0017671A">
        <w:trPr>
          <w:trHeight w:val="328"/>
        </w:trPr>
        <w:tc>
          <w:tcPr>
            <w:tcW w:w="2320" w:type="dxa"/>
            <w:shd w:val="clear" w:color="auto" w:fill="auto"/>
            <w:vAlign w:val="bottom"/>
          </w:tcPr>
          <w:p w14:paraId="15B462F5" w14:textId="4A5B503C"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3B10E1B" w14:textId="7E8244AC"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DATE] </w:t>
            </w:r>
            <w:r w:rsidRPr="00781E31">
              <w:rPr>
                <w:sz w:val="18"/>
                <w:szCs w:val="18"/>
              </w:rPr>
              <w:fldChar w:fldCharType="end"/>
            </w:r>
          </w:p>
        </w:tc>
      </w:tr>
      <w:bookmarkEnd w:id="0"/>
    </w:tbl>
    <w:p w14:paraId="7218FB26" w14:textId="7C799E3E" w:rsidR="00C81396" w:rsidRPr="002A2375" w:rsidRDefault="00C81396">
      <w:pPr>
        <w:rPr>
          <w:b/>
          <w:sz w:val="28"/>
          <w:szCs w:val="28"/>
        </w:rPr>
      </w:pPr>
    </w:p>
    <w:sectPr w:rsidR="00C81396" w:rsidRPr="002A2375" w:rsidSect="00982053">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E5E4E" w14:textId="77777777" w:rsidR="00982053" w:rsidRDefault="00982053" w:rsidP="00963EE2">
      <w:r>
        <w:separator/>
      </w:r>
    </w:p>
  </w:endnote>
  <w:endnote w:type="continuationSeparator" w:id="0">
    <w:p w14:paraId="02E44F49" w14:textId="77777777" w:rsidR="00982053" w:rsidRDefault="00982053"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73F09" w14:textId="77777777" w:rsidR="00C701C0" w:rsidRDefault="00C701C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96317"/>
      <w:docPartObj>
        <w:docPartGallery w:val="Page Numbers (Bottom of Page)"/>
        <w:docPartUnique/>
      </w:docPartObj>
    </w:sdtPr>
    <w:sdtEndPr/>
    <w:sdtContent>
      <w:p w14:paraId="695BADBC" w14:textId="01E683D7"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373070"/>
      <w:docPartObj>
        <w:docPartGallery w:val="Page Numbers (Bottom of Page)"/>
        <w:docPartUnique/>
      </w:docPartObj>
    </w:sdtPr>
    <w:sdtEndPr/>
    <w:sdtContent>
      <w:p w14:paraId="72A38B8B" w14:textId="6C56EB98"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9444B8" w14:textId="77777777" w:rsidR="00414BDD" w:rsidRDefault="00414BD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296353"/>
      <w:docPartObj>
        <w:docPartGallery w:val="Page Numbers (Bottom of Page)"/>
        <w:docPartUnique/>
      </w:docPartObj>
    </w:sdtPr>
    <w:sdtEndPr/>
    <w:sdtContent>
      <w:p w14:paraId="1F99B9C6" w14:textId="17FBC5DD"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212106"/>
      <w:docPartObj>
        <w:docPartGallery w:val="Page Numbers (Bottom of Page)"/>
        <w:docPartUnique/>
      </w:docPartObj>
    </w:sdtPr>
    <w:sdtEndPr/>
    <w:sdtContent>
      <w:p w14:paraId="4F42B05C" w14:textId="1C6CE8ED"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974289"/>
      <w:docPartObj>
        <w:docPartGallery w:val="Page Numbers (Bottom of Page)"/>
        <w:docPartUnique/>
      </w:docPartObj>
    </w:sdtPr>
    <w:sdtEndPr/>
    <w:sdtContent>
      <w:p w14:paraId="5618A804" w14:textId="2A0D8EAA"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409BE29" w14:textId="77777777" w:rsidR="00414BDD" w:rsidRDefault="00414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416104"/>
      <w:docPartObj>
        <w:docPartGallery w:val="Page Numbers (Bottom of Page)"/>
        <w:docPartUnique/>
      </w:docPartObj>
    </w:sdtPr>
    <w:sdtEndPr/>
    <w:sdtContent>
      <w:p w14:paraId="0BEB22D5" w14:textId="3C6EEE28"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9336648" w14:textId="77777777" w:rsidR="00414BDD" w:rsidRDefault="00414BDD" w:rsidP="000801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38112"/>
      <w:docPartObj>
        <w:docPartGallery w:val="Page Numbers (Bottom of Page)"/>
        <w:docPartUnique/>
      </w:docPartObj>
    </w:sdtPr>
    <w:sdtEndPr/>
    <w:sdtContent>
      <w:p w14:paraId="24B79E0F" w14:textId="0D048756"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FD29546" w14:textId="77777777" w:rsidR="00DC2F04" w:rsidRDefault="00DC2F04" w:rsidP="0062039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9D84" w14:textId="77777777" w:rsidR="00414BDD" w:rsidRDefault="00414BDD" w:rsidP="000801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412715"/>
      <w:docPartObj>
        <w:docPartGallery w:val="Page Numbers (Bottom of Page)"/>
        <w:docPartUnique/>
      </w:docPartObj>
    </w:sdtPr>
    <w:sdtEndPr/>
    <w:sdtContent>
      <w:p w14:paraId="60EF014C" w14:textId="3507F32F"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209754"/>
      <w:docPartObj>
        <w:docPartGallery w:val="Page Numbers (Bottom of Page)"/>
        <w:docPartUnique/>
      </w:docPartObj>
    </w:sdtPr>
    <w:sdtEndPr/>
    <w:sdtContent>
      <w:p w14:paraId="30CEDADF" w14:textId="42A24BFE"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FC62A8"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037805"/>
      <w:docPartObj>
        <w:docPartGallery w:val="Page Numbers (Bottom of Page)"/>
        <w:docPartUnique/>
      </w:docPartObj>
    </w:sdtPr>
    <w:sdtEndPr/>
    <w:sdtContent>
      <w:p w14:paraId="782A78B5" w14:textId="016DDEDA"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C6954" w14:textId="77777777" w:rsidR="00982053" w:rsidRDefault="00982053" w:rsidP="00963EE2">
      <w:r>
        <w:separator/>
      </w:r>
    </w:p>
  </w:footnote>
  <w:footnote w:type="continuationSeparator" w:id="0">
    <w:p w14:paraId="0704D716" w14:textId="77777777" w:rsidR="00982053" w:rsidRDefault="00982053"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0FD34" w14:textId="77777777" w:rsidR="00C701C0" w:rsidRDefault="00C701C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EDC0" w14:textId="02FA85D4" w:rsidR="00414BDD" w:rsidRPr="004950D6" w:rsidRDefault="00414BDD"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F1F3" w14:textId="42D3B4C0" w:rsidR="006F7484" w:rsidRPr="004950D6" w:rsidRDefault="006F7484" w:rsidP="004950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F8CA" w14:textId="341AD185" w:rsidR="00D72530" w:rsidRPr="004950D6" w:rsidRDefault="00D72530" w:rsidP="004950D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7E69" w14:textId="77777777" w:rsidR="004950D6" w:rsidRPr="004950D6" w:rsidRDefault="004950D6" w:rsidP="004950D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66B8" w14:textId="77777777" w:rsidR="004950D6" w:rsidRPr="004950D6" w:rsidRDefault="004950D6" w:rsidP="00F8075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20FB" w14:textId="77777777" w:rsidR="004950D6" w:rsidRPr="004950D6" w:rsidRDefault="004950D6" w:rsidP="004950D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6558" w14:textId="77777777" w:rsidR="00414BDD" w:rsidRDefault="00414BD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B480" w14:textId="77777777" w:rsidR="00414BDD" w:rsidRDefault="00414BD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F4982" w14:textId="77777777" w:rsidR="00C701C0" w:rsidRDefault="00C70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804B" w14:textId="77777777" w:rsidR="00C701C0" w:rsidRDefault="00C701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FC34" w14:textId="77777777" w:rsidR="004950D6" w:rsidRPr="004950D6" w:rsidRDefault="004950D6" w:rsidP="004950D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6C04" w14:textId="77777777" w:rsidR="004950D6" w:rsidRPr="004950D6" w:rsidRDefault="004950D6" w:rsidP="004950D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7226" w14:textId="77777777" w:rsidR="004950D6" w:rsidRPr="004950D6" w:rsidRDefault="004950D6" w:rsidP="004950D6">
    <w:pPr>
      <w:pStyle w:val="Head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D630" w14:textId="77777777" w:rsidR="004950D6" w:rsidRPr="004950D6" w:rsidRDefault="004950D6"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wNDM2NLQwMjcyNTVS0lEKTi0uzszPAykwrAUA4a4BziwAAAA="/>
  </w:docVars>
  <w:rsids>
    <w:rsidRoot w:val="00963EE2"/>
    <w:rsid w:val="00000D40"/>
    <w:rsid w:val="00007627"/>
    <w:rsid w:val="0001782A"/>
    <w:rsid w:val="00020D76"/>
    <w:rsid w:val="0002144E"/>
    <w:rsid w:val="00021781"/>
    <w:rsid w:val="00025ECF"/>
    <w:rsid w:val="0003280A"/>
    <w:rsid w:val="00032E24"/>
    <w:rsid w:val="0003379D"/>
    <w:rsid w:val="00034F9E"/>
    <w:rsid w:val="000444BB"/>
    <w:rsid w:val="00045E30"/>
    <w:rsid w:val="00050DDF"/>
    <w:rsid w:val="00051E33"/>
    <w:rsid w:val="0005395D"/>
    <w:rsid w:val="00054F04"/>
    <w:rsid w:val="000550A5"/>
    <w:rsid w:val="00056110"/>
    <w:rsid w:val="0006404D"/>
    <w:rsid w:val="000676A4"/>
    <w:rsid w:val="0007210D"/>
    <w:rsid w:val="0007560F"/>
    <w:rsid w:val="00080196"/>
    <w:rsid w:val="00085D0B"/>
    <w:rsid w:val="00095432"/>
    <w:rsid w:val="00097F78"/>
    <w:rsid w:val="000A083E"/>
    <w:rsid w:val="000A76BE"/>
    <w:rsid w:val="000B4557"/>
    <w:rsid w:val="000B66C8"/>
    <w:rsid w:val="000C22CF"/>
    <w:rsid w:val="000C6C05"/>
    <w:rsid w:val="000C6D93"/>
    <w:rsid w:val="000D0DA2"/>
    <w:rsid w:val="000D58E1"/>
    <w:rsid w:val="000D5FDB"/>
    <w:rsid w:val="000E66C8"/>
    <w:rsid w:val="000F2247"/>
    <w:rsid w:val="001051D7"/>
    <w:rsid w:val="00105D5C"/>
    <w:rsid w:val="0011196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A0E6E"/>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47928"/>
    <w:rsid w:val="00551D2A"/>
    <w:rsid w:val="00560039"/>
    <w:rsid w:val="0056350B"/>
    <w:rsid w:val="00570E46"/>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37B"/>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044B"/>
    <w:rsid w:val="00873671"/>
    <w:rsid w:val="00874BF4"/>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20921"/>
    <w:rsid w:val="0093182D"/>
    <w:rsid w:val="0093734F"/>
    <w:rsid w:val="00954043"/>
    <w:rsid w:val="009604C9"/>
    <w:rsid w:val="00963EE2"/>
    <w:rsid w:val="00964729"/>
    <w:rsid w:val="009716D6"/>
    <w:rsid w:val="009805ED"/>
    <w:rsid w:val="009810A4"/>
    <w:rsid w:val="00982053"/>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0B10"/>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01C0"/>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C5B94"/>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77E76"/>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8.xml"/><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7.xml"/><Relationship Id="rId40"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7375</Words>
  <Characters>42043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3</cp:revision>
  <dcterms:created xsi:type="dcterms:W3CDTF">2024-03-13T02:46:00Z</dcterms:created>
  <dcterms:modified xsi:type="dcterms:W3CDTF">2024-04-03T22:04:00Z</dcterms:modified>
</cp:coreProperties>
</file>