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1495" w14:textId="6D770F0E" w:rsidR="00EA60DB" w:rsidRPr="00EA60DB" w:rsidRDefault="00EA60DB" w:rsidP="00EA60DB">
      <w:pPr>
        <w:pStyle w:val="ListParagraph"/>
        <w:numPr>
          <w:ilvl w:val="0"/>
          <w:numId w:val="40"/>
        </w:numPr>
        <w:rPr>
          <w:rFonts w:ascii="Inter Bold" w:hAnsi="Inter Bold"/>
          <w:noProof/>
          <w:sz w:val="36"/>
          <w:szCs w:val="36"/>
        </w:rPr>
      </w:pPr>
      <w:r w:rsidRPr="00EA60DB">
        <w:rPr>
          <w:rFonts w:ascii="Inter Bold" w:hAnsi="Inter Bold"/>
          <w:noProof/>
          <w:sz w:val="36"/>
          <w:szCs w:val="36"/>
        </w:rPr>
        <w:t>Generat</w:t>
      </w:r>
      <w:r>
        <w:rPr>
          <w:rFonts w:ascii="Inter Bold" w:hAnsi="Inter Bold"/>
          <w:noProof/>
          <w:sz w:val="36"/>
          <w:szCs w:val="36"/>
        </w:rPr>
        <w:t>ing</w:t>
      </w:r>
      <w:r w:rsidRPr="00EA60DB">
        <w:rPr>
          <w:rFonts w:ascii="Inter Bold" w:hAnsi="Inter Bold"/>
          <w:noProof/>
          <w:sz w:val="36"/>
          <w:szCs w:val="36"/>
        </w:rPr>
        <w:t xml:space="preserve"> Sets</w:t>
      </w:r>
    </w:p>
    <w:p w14:paraId="67269ADB" w14:textId="25087B75" w:rsidR="007F340E" w:rsidRDefault="00EA60DB" w:rsidP="00EA60DB">
      <w:pPr>
        <w:jc w:val="both"/>
        <w:rPr>
          <w:lang w:val="en-US"/>
        </w:rPr>
      </w:pPr>
      <w:r w:rsidRPr="00EA60DB">
        <w:rPr>
          <w:lang w:val="en-US"/>
        </w:rPr>
        <w:t xml:space="preserve">This specification covers the minimum technical requirements for the supply, testing and preparation for shipment of the diesel Generating Set and associated equipment for the </w:t>
      </w:r>
      <w:r>
        <w:rPr>
          <w:lang w:val="en-US"/>
        </w:rPr>
        <w:t>Theodore Water Treatment Plant</w:t>
      </w:r>
      <w:r w:rsidRPr="00EA60DB">
        <w:rPr>
          <w:lang w:val="en-US"/>
        </w:rPr>
        <w:t xml:space="preserve"> Generator Upgrade Project, Queensland, Australia.</w:t>
      </w:r>
    </w:p>
    <w:p w14:paraId="72D96237" w14:textId="2FFB3064" w:rsidR="00EA60DB" w:rsidRDefault="00EA60DB" w:rsidP="00EA60DB">
      <w:pPr>
        <w:jc w:val="both"/>
        <w:rPr>
          <w:lang w:val="en-US"/>
        </w:rPr>
      </w:pPr>
      <w:r w:rsidRPr="00EA60DB">
        <w:rPr>
          <w:lang w:val="en-US"/>
        </w:rPr>
        <w:t>The Generating Sets shall be enclosed or containerised, covered from direct sunlight and rain, suitable for resting on a concrete slab.</w:t>
      </w:r>
    </w:p>
    <w:p w14:paraId="6F563442" w14:textId="16E0DE0A" w:rsidR="00EA60DB" w:rsidRDefault="00EA60DB" w:rsidP="00063B67">
      <w:pPr>
        <w:jc w:val="both"/>
        <w:rPr>
          <w:lang w:val="en-US"/>
        </w:rPr>
      </w:pPr>
      <w:r w:rsidRPr="00EA60DB">
        <w:rPr>
          <w:lang w:val="en-US"/>
        </w:rPr>
        <w:t>The Generating Set is required for the supply of standby power to the site</w:t>
      </w:r>
      <w:r>
        <w:rPr>
          <w:lang w:val="en-US"/>
        </w:rPr>
        <w:t xml:space="preserve">. </w:t>
      </w:r>
      <w:r w:rsidRPr="00EA60DB">
        <w:rPr>
          <w:lang w:val="en-US"/>
        </w:rPr>
        <w:t>Equipment supplied under this Scope of Work shall be factory tested and delivered ready for installation. It is intended to purchase the Generat</w:t>
      </w:r>
      <w:r>
        <w:rPr>
          <w:lang w:val="en-US"/>
        </w:rPr>
        <w:t>or</w:t>
      </w:r>
      <w:r w:rsidRPr="00EA60DB">
        <w:rPr>
          <w:lang w:val="en-US"/>
        </w:rPr>
        <w:t xml:space="preserve"> Set described in this document</w:t>
      </w:r>
      <w:r>
        <w:rPr>
          <w:lang w:val="en-US"/>
        </w:rPr>
        <w:t xml:space="preserve">. </w:t>
      </w:r>
    </w:p>
    <w:p w14:paraId="78105136" w14:textId="3D7FAD6F" w:rsidR="00EA60DB" w:rsidRPr="009717C3" w:rsidRDefault="00EA60DB" w:rsidP="00EA60DB">
      <w:pPr>
        <w:pStyle w:val="ListParagraph"/>
        <w:numPr>
          <w:ilvl w:val="1"/>
          <w:numId w:val="40"/>
        </w:numPr>
        <w:rPr>
          <w:sz w:val="26"/>
          <w:szCs w:val="26"/>
        </w:rPr>
      </w:pPr>
      <w:r w:rsidRPr="009717C3">
        <w:rPr>
          <w:sz w:val="26"/>
          <w:szCs w:val="26"/>
        </w:rPr>
        <w:t>Design and Supply</w:t>
      </w:r>
    </w:p>
    <w:p w14:paraId="787AF6D8" w14:textId="77777777" w:rsidR="00EA60DB" w:rsidRDefault="00EA60DB" w:rsidP="00EA60DB">
      <w:pPr>
        <w:spacing w:before="120" w:after="120" w:line="240" w:lineRule="auto"/>
        <w:rPr>
          <w:rFonts w:cs="Calibri"/>
          <w:sz w:val="18"/>
          <w:szCs w:val="18"/>
        </w:rPr>
      </w:pPr>
      <w:r>
        <w:rPr>
          <w:rFonts w:cs="Calibri"/>
          <w:szCs w:val="18"/>
        </w:rPr>
        <w:t>The Supplier shall provide a safe and complete Diesel Generating Set fit for the purposes described, thoroughly tested, fully operational and ready for continuous reliable service at the intended installation site.</w:t>
      </w:r>
    </w:p>
    <w:p w14:paraId="205CC60A" w14:textId="77777777" w:rsidR="00EA60DB" w:rsidRDefault="00EA60DB" w:rsidP="00EA60DB">
      <w:pPr>
        <w:spacing w:before="120" w:after="120" w:line="240" w:lineRule="auto"/>
        <w:rPr>
          <w:rFonts w:cs="Calibri"/>
          <w:szCs w:val="18"/>
        </w:rPr>
      </w:pPr>
      <w:r>
        <w:rPr>
          <w:rFonts w:cs="Calibri"/>
          <w:szCs w:val="18"/>
        </w:rPr>
        <w:t xml:space="preserve">The Diesel Generating Sets shall be </w:t>
      </w:r>
      <w:proofErr w:type="gramStart"/>
      <w:r>
        <w:rPr>
          <w:rFonts w:cs="Calibri"/>
          <w:szCs w:val="18"/>
        </w:rPr>
        <w:t>skid</w:t>
      </w:r>
      <w:proofErr w:type="gramEnd"/>
      <w:r>
        <w:rPr>
          <w:rFonts w:cs="Calibri"/>
          <w:szCs w:val="18"/>
        </w:rPr>
        <w:t xml:space="preserve"> mounted packages including, but not limited to, the following:</w:t>
      </w:r>
    </w:p>
    <w:p w14:paraId="222633FE" w14:textId="77777777" w:rsidR="00EA60DB" w:rsidRDefault="00EA60DB" w:rsidP="00EA60DB">
      <w:pPr>
        <w:numPr>
          <w:ilvl w:val="0"/>
          <w:numId w:val="41"/>
        </w:numPr>
        <w:spacing w:after="0" w:line="240" w:lineRule="auto"/>
        <w:contextualSpacing/>
        <w:rPr>
          <w:rFonts w:cs="Calibri"/>
          <w:szCs w:val="18"/>
        </w:rPr>
      </w:pPr>
      <w:r>
        <w:rPr>
          <w:rFonts w:cs="Calibri"/>
          <w:szCs w:val="18"/>
        </w:rPr>
        <w:t>Diesel engine and alternator.</w:t>
      </w:r>
    </w:p>
    <w:p w14:paraId="2EA56041" w14:textId="77777777" w:rsidR="00EA60DB" w:rsidRDefault="00EA60DB" w:rsidP="00EA60DB">
      <w:pPr>
        <w:numPr>
          <w:ilvl w:val="0"/>
          <w:numId w:val="41"/>
        </w:numPr>
        <w:spacing w:after="0" w:line="240" w:lineRule="auto"/>
        <w:contextualSpacing/>
        <w:rPr>
          <w:rFonts w:cs="Calibri"/>
          <w:szCs w:val="18"/>
        </w:rPr>
      </w:pPr>
      <w:r>
        <w:rPr>
          <w:rFonts w:cs="Calibri"/>
          <w:szCs w:val="18"/>
        </w:rPr>
        <w:t>Governor system.</w:t>
      </w:r>
    </w:p>
    <w:p w14:paraId="196A744F" w14:textId="77777777" w:rsidR="00EA60DB" w:rsidRDefault="00EA60DB" w:rsidP="00EA60DB">
      <w:pPr>
        <w:numPr>
          <w:ilvl w:val="0"/>
          <w:numId w:val="41"/>
        </w:numPr>
        <w:spacing w:after="0" w:line="240" w:lineRule="auto"/>
        <w:contextualSpacing/>
        <w:rPr>
          <w:rFonts w:cs="Calibri"/>
          <w:szCs w:val="18"/>
        </w:rPr>
      </w:pPr>
      <w:r>
        <w:rPr>
          <w:rFonts w:cs="Calibri"/>
          <w:szCs w:val="18"/>
        </w:rPr>
        <w:t>Exhaust system, including acoustic noise attenuation.</w:t>
      </w:r>
    </w:p>
    <w:p w14:paraId="23FCB43F" w14:textId="77777777" w:rsidR="00EA60DB" w:rsidRDefault="00EA60DB" w:rsidP="00EA60DB">
      <w:pPr>
        <w:numPr>
          <w:ilvl w:val="0"/>
          <w:numId w:val="41"/>
        </w:numPr>
        <w:spacing w:after="0" w:line="240" w:lineRule="auto"/>
        <w:contextualSpacing/>
        <w:rPr>
          <w:rFonts w:cs="Calibri"/>
          <w:szCs w:val="18"/>
        </w:rPr>
      </w:pPr>
      <w:r>
        <w:rPr>
          <w:rFonts w:cs="Calibri"/>
          <w:szCs w:val="18"/>
        </w:rPr>
        <w:t>Engine starting system.</w:t>
      </w:r>
    </w:p>
    <w:p w14:paraId="309B9B8C" w14:textId="77777777" w:rsidR="00EA60DB" w:rsidRDefault="00EA60DB" w:rsidP="00EA60DB">
      <w:pPr>
        <w:numPr>
          <w:ilvl w:val="0"/>
          <w:numId w:val="41"/>
        </w:numPr>
        <w:spacing w:after="0" w:line="240" w:lineRule="auto"/>
        <w:contextualSpacing/>
        <w:rPr>
          <w:rFonts w:cs="Calibri"/>
          <w:szCs w:val="18"/>
        </w:rPr>
      </w:pPr>
      <w:r>
        <w:rPr>
          <w:rFonts w:cs="Calibri"/>
          <w:szCs w:val="18"/>
        </w:rPr>
        <w:t>Engine cooling system.</w:t>
      </w:r>
    </w:p>
    <w:p w14:paraId="5CAB0859" w14:textId="77777777" w:rsidR="00EA60DB" w:rsidRDefault="00EA60DB" w:rsidP="00EA60DB">
      <w:pPr>
        <w:numPr>
          <w:ilvl w:val="0"/>
          <w:numId w:val="41"/>
        </w:numPr>
        <w:spacing w:after="0" w:line="240" w:lineRule="auto"/>
        <w:contextualSpacing/>
        <w:rPr>
          <w:rFonts w:cs="Calibri"/>
          <w:szCs w:val="18"/>
        </w:rPr>
      </w:pPr>
      <w:r>
        <w:rPr>
          <w:rFonts w:cs="Calibri"/>
          <w:szCs w:val="18"/>
        </w:rPr>
        <w:t>Generator excitation system.</w:t>
      </w:r>
    </w:p>
    <w:p w14:paraId="286C2AE8" w14:textId="77777777" w:rsidR="00EA60DB" w:rsidRDefault="00EA60DB" w:rsidP="00EA60DB">
      <w:pPr>
        <w:numPr>
          <w:ilvl w:val="0"/>
          <w:numId w:val="41"/>
        </w:numPr>
        <w:spacing w:after="0" w:line="240" w:lineRule="auto"/>
        <w:contextualSpacing/>
        <w:rPr>
          <w:rFonts w:cs="Calibri"/>
          <w:szCs w:val="18"/>
        </w:rPr>
      </w:pPr>
      <w:r>
        <w:rPr>
          <w:rFonts w:cs="Calibri"/>
          <w:szCs w:val="18"/>
        </w:rPr>
        <w:t>Battery and charger systems.</w:t>
      </w:r>
    </w:p>
    <w:p w14:paraId="58B6C153" w14:textId="77777777" w:rsidR="00EA60DB" w:rsidRDefault="00EA60DB" w:rsidP="00EA60DB">
      <w:pPr>
        <w:numPr>
          <w:ilvl w:val="0"/>
          <w:numId w:val="41"/>
        </w:numPr>
        <w:spacing w:after="0" w:line="240" w:lineRule="auto"/>
        <w:contextualSpacing/>
        <w:rPr>
          <w:rFonts w:cs="Calibri"/>
          <w:szCs w:val="18"/>
        </w:rPr>
      </w:pPr>
      <w:r>
        <w:rPr>
          <w:rFonts w:cs="Calibri"/>
          <w:szCs w:val="18"/>
        </w:rPr>
        <w:t>Generating Set Circuit Breaker Switchboard, including circuit breaker for protection of the generator.</w:t>
      </w:r>
    </w:p>
    <w:p w14:paraId="76236C15" w14:textId="77777777" w:rsidR="00EA60DB" w:rsidRDefault="00EA60DB" w:rsidP="00EA60DB">
      <w:pPr>
        <w:numPr>
          <w:ilvl w:val="0"/>
          <w:numId w:val="41"/>
        </w:numPr>
        <w:spacing w:after="0" w:line="240" w:lineRule="auto"/>
        <w:contextualSpacing/>
        <w:rPr>
          <w:rFonts w:cs="Calibri"/>
          <w:szCs w:val="18"/>
        </w:rPr>
      </w:pPr>
      <w:r>
        <w:rPr>
          <w:rFonts w:cs="Calibri"/>
          <w:szCs w:val="18"/>
        </w:rPr>
        <w:t>Generator Control Panel.</w:t>
      </w:r>
    </w:p>
    <w:p w14:paraId="47F66727" w14:textId="77777777" w:rsidR="00EA60DB" w:rsidRDefault="00EA60DB" w:rsidP="00EA60DB">
      <w:pPr>
        <w:numPr>
          <w:ilvl w:val="0"/>
          <w:numId w:val="41"/>
        </w:numPr>
        <w:spacing w:after="0" w:line="240" w:lineRule="auto"/>
        <w:contextualSpacing/>
        <w:rPr>
          <w:rFonts w:cs="Calibri"/>
          <w:szCs w:val="18"/>
        </w:rPr>
      </w:pPr>
      <w:r>
        <w:rPr>
          <w:rFonts w:cs="Calibri"/>
          <w:szCs w:val="18"/>
        </w:rPr>
        <w:t>AC and DC power distribution and controls for Generating Set and auxiliary systems such as a load bank.</w:t>
      </w:r>
    </w:p>
    <w:p w14:paraId="52E01105" w14:textId="77777777" w:rsidR="00EA60DB" w:rsidRDefault="00EA60DB" w:rsidP="00EA60DB">
      <w:pPr>
        <w:numPr>
          <w:ilvl w:val="0"/>
          <w:numId w:val="41"/>
        </w:numPr>
        <w:spacing w:after="0" w:line="240" w:lineRule="auto"/>
        <w:contextualSpacing/>
        <w:rPr>
          <w:rFonts w:cs="Calibri"/>
          <w:szCs w:val="18"/>
        </w:rPr>
      </w:pPr>
      <w:r>
        <w:rPr>
          <w:rFonts w:cs="Calibri"/>
          <w:szCs w:val="18"/>
        </w:rPr>
        <w:t>Diesel Generating Set weatherproof and acoustic enclosure. Roof of enclosure to be designed to prevent pooling of water.</w:t>
      </w:r>
    </w:p>
    <w:p w14:paraId="78F9BC16" w14:textId="77777777" w:rsidR="00EA60DB" w:rsidRDefault="00EA60DB" w:rsidP="00EA60DB">
      <w:pPr>
        <w:spacing w:after="0" w:line="240" w:lineRule="auto"/>
        <w:ind w:left="360"/>
        <w:contextualSpacing/>
        <w:rPr>
          <w:rFonts w:cs="Calibri"/>
          <w:szCs w:val="18"/>
        </w:rPr>
      </w:pPr>
    </w:p>
    <w:p w14:paraId="1FB19EF1" w14:textId="77777777" w:rsidR="00EA60DB" w:rsidRDefault="00EA60DB" w:rsidP="00EA60DB">
      <w:pPr>
        <w:spacing w:before="120" w:after="120" w:line="240" w:lineRule="auto"/>
        <w:rPr>
          <w:rFonts w:cs="Calibri"/>
          <w:szCs w:val="18"/>
        </w:rPr>
      </w:pPr>
      <w:r>
        <w:rPr>
          <w:rFonts w:cs="Calibri"/>
          <w:szCs w:val="18"/>
        </w:rPr>
        <w:t xml:space="preserve">The Supplier shall make provision for supplying and incorporating all minor equipment, or small components, (that would otherwise be considered necessary by a competent Supplier) and may not be specifically referred to or specified in the tender requisition documents, but are necessary to make the systems complete, </w:t>
      </w:r>
      <w:proofErr w:type="gramStart"/>
      <w:r>
        <w:rPr>
          <w:rFonts w:cs="Calibri"/>
          <w:szCs w:val="18"/>
        </w:rPr>
        <w:t>safe</w:t>
      </w:r>
      <w:proofErr w:type="gramEnd"/>
      <w:r>
        <w:rPr>
          <w:rFonts w:cs="Calibri"/>
          <w:szCs w:val="18"/>
        </w:rPr>
        <w:t xml:space="preserve"> and functional in all respects.</w:t>
      </w:r>
    </w:p>
    <w:p w14:paraId="7C2B3C45" w14:textId="77777777" w:rsidR="00EA60DB" w:rsidRDefault="00EA60DB" w:rsidP="00EA60DB">
      <w:pPr>
        <w:spacing w:before="120" w:after="120" w:line="240" w:lineRule="auto"/>
        <w:rPr>
          <w:rFonts w:cs="Calibri"/>
          <w:szCs w:val="18"/>
        </w:rPr>
      </w:pPr>
      <w:r>
        <w:rPr>
          <w:rFonts w:cs="Calibri"/>
          <w:szCs w:val="18"/>
        </w:rPr>
        <w:t>The generator will be rated for prime operation outdoors under site conditions.</w:t>
      </w:r>
    </w:p>
    <w:p w14:paraId="21B4102A" w14:textId="77777777" w:rsidR="00EA60DB" w:rsidRDefault="00EA60DB" w:rsidP="00EA60DB">
      <w:pPr>
        <w:spacing w:before="120" w:after="120" w:line="240" w:lineRule="auto"/>
        <w:rPr>
          <w:rFonts w:cs="Calibri"/>
          <w:szCs w:val="18"/>
        </w:rPr>
      </w:pPr>
      <w:r>
        <w:rPr>
          <w:rFonts w:cs="Calibri"/>
          <w:szCs w:val="18"/>
        </w:rPr>
        <w:t>The generator shall conform to the minimum specifications nominated below.</w:t>
      </w:r>
    </w:p>
    <w:p w14:paraId="13DCE0B8" w14:textId="77777777" w:rsidR="00EA60DB" w:rsidRDefault="00EA60DB" w:rsidP="00EA60DB">
      <w:pPr>
        <w:numPr>
          <w:ilvl w:val="0"/>
          <w:numId w:val="41"/>
        </w:numPr>
        <w:spacing w:after="0" w:line="240" w:lineRule="auto"/>
        <w:contextualSpacing/>
        <w:rPr>
          <w:rFonts w:cstheme="minorHAnsi"/>
          <w:szCs w:val="20"/>
        </w:rPr>
      </w:pPr>
      <w:r>
        <w:t>Generators and components shall be designed and supplied to provide continuous, long-term service under the ambient and environmental conditions that will prevail on the site.</w:t>
      </w:r>
    </w:p>
    <w:p w14:paraId="1BA5B4EF" w14:textId="77777777" w:rsidR="00EA60DB" w:rsidRDefault="00EA60DB" w:rsidP="00EA60DB">
      <w:pPr>
        <w:numPr>
          <w:ilvl w:val="0"/>
          <w:numId w:val="41"/>
        </w:numPr>
        <w:spacing w:after="0" w:line="240" w:lineRule="auto"/>
        <w:contextualSpacing/>
      </w:pPr>
      <w:r>
        <w:t>Generators shall be of the Vendors best quality and construction to ensure a minimum equipment design life of 20 years.</w:t>
      </w:r>
    </w:p>
    <w:p w14:paraId="3F1AF03E" w14:textId="77777777" w:rsidR="00EA60DB" w:rsidRDefault="00EA60DB" w:rsidP="00EA60DB">
      <w:pPr>
        <w:numPr>
          <w:ilvl w:val="0"/>
          <w:numId w:val="41"/>
        </w:numPr>
        <w:spacing w:after="0" w:line="240" w:lineRule="auto"/>
        <w:contextualSpacing/>
      </w:pPr>
      <w:r>
        <w:t>Generators will be supplied new with full Original Equipment Manufacturers (OEM) warranty.</w:t>
      </w:r>
    </w:p>
    <w:p w14:paraId="077F55F1" w14:textId="77777777" w:rsidR="00EA60DB" w:rsidRDefault="00EA60DB" w:rsidP="00EA60DB">
      <w:pPr>
        <w:numPr>
          <w:ilvl w:val="0"/>
          <w:numId w:val="41"/>
        </w:numPr>
        <w:spacing w:after="0" w:line="240" w:lineRule="auto"/>
        <w:contextualSpacing/>
      </w:pPr>
      <w:r>
        <w:t>Generators shall be supplied with climate appropriate radiators and alternators.</w:t>
      </w:r>
    </w:p>
    <w:p w14:paraId="3B10A2BE" w14:textId="77777777" w:rsidR="00EA60DB" w:rsidRDefault="00EA60DB" w:rsidP="00EA60DB">
      <w:pPr>
        <w:numPr>
          <w:ilvl w:val="0"/>
          <w:numId w:val="41"/>
        </w:numPr>
        <w:spacing w:after="0" w:line="240" w:lineRule="auto"/>
        <w:contextualSpacing/>
      </w:pPr>
      <w:r>
        <w:t>Alternators shall have anti-condensation heaters fitted.</w:t>
      </w:r>
    </w:p>
    <w:p w14:paraId="0840229A" w14:textId="77777777" w:rsidR="00EA60DB" w:rsidRDefault="00EA60DB" w:rsidP="00EA60DB">
      <w:pPr>
        <w:numPr>
          <w:ilvl w:val="0"/>
          <w:numId w:val="41"/>
        </w:numPr>
        <w:spacing w:after="0" w:line="240" w:lineRule="auto"/>
        <w:contextualSpacing/>
      </w:pPr>
      <w:r>
        <w:lastRenderedPageBreak/>
        <w:t>Generators shall be housed in a corrosion resistant (stainless steel or power coated steel), sound attenuated enclosure for 85db at one metre with sufficient access for re-fuelling and maintenance.</w:t>
      </w:r>
    </w:p>
    <w:p w14:paraId="1F7C1DAD" w14:textId="77777777" w:rsidR="00EA60DB" w:rsidRDefault="00EA60DB" w:rsidP="00EA60DB">
      <w:pPr>
        <w:numPr>
          <w:ilvl w:val="0"/>
          <w:numId w:val="41"/>
        </w:numPr>
        <w:spacing w:after="0" w:line="240" w:lineRule="auto"/>
        <w:contextualSpacing/>
      </w:pPr>
      <w:r>
        <w:t>Generator sets shall have 5mm mesh covers fitted to all enclosure air inlet openings to prevent vermin ingress.</w:t>
      </w:r>
    </w:p>
    <w:p w14:paraId="778B445F" w14:textId="6A75601C" w:rsidR="00EA60DB" w:rsidRDefault="00EA60DB" w:rsidP="00EA60DB">
      <w:pPr>
        <w:numPr>
          <w:ilvl w:val="0"/>
          <w:numId w:val="41"/>
        </w:numPr>
        <w:spacing w:after="0" w:line="240" w:lineRule="auto"/>
        <w:contextualSpacing/>
      </w:pPr>
      <w:r>
        <w:t>Engines shall be the latest model genuine brands with service agents local to Banana Shire Council.</w:t>
      </w:r>
    </w:p>
    <w:p w14:paraId="34CAD823" w14:textId="77777777" w:rsidR="00EA60DB" w:rsidRDefault="00EA60DB" w:rsidP="00EA60DB">
      <w:pPr>
        <w:numPr>
          <w:ilvl w:val="0"/>
          <w:numId w:val="41"/>
        </w:numPr>
        <w:spacing w:after="0" w:line="240" w:lineRule="auto"/>
        <w:contextualSpacing/>
      </w:pPr>
      <w:r>
        <w:t>Engine exhausts will have a whether flap or equivalent fitted to prevent water entering the engine.</w:t>
      </w:r>
    </w:p>
    <w:p w14:paraId="64D298A5" w14:textId="77777777" w:rsidR="00EA60DB" w:rsidRDefault="00EA60DB" w:rsidP="00EA60DB">
      <w:pPr>
        <w:numPr>
          <w:ilvl w:val="0"/>
          <w:numId w:val="41"/>
        </w:numPr>
        <w:spacing w:after="0" w:line="240" w:lineRule="auto"/>
        <w:contextualSpacing/>
      </w:pPr>
      <w:r>
        <w:t>Generators shall be fitted with permanent magnet excitation system.</w:t>
      </w:r>
    </w:p>
    <w:p w14:paraId="7E36DB4A" w14:textId="77777777" w:rsidR="00EA60DB" w:rsidRDefault="00EA60DB" w:rsidP="00EA60DB">
      <w:pPr>
        <w:numPr>
          <w:ilvl w:val="0"/>
          <w:numId w:val="41"/>
        </w:numPr>
        <w:spacing w:after="0" w:line="240" w:lineRule="auto"/>
        <w:contextualSpacing/>
      </w:pPr>
      <w:r>
        <w:t>Generators shall be capable of running with a minimum of 30% of rated load applied for extended periods to prevent glazing and engine damage.</w:t>
      </w:r>
    </w:p>
    <w:p w14:paraId="19878E8F" w14:textId="3952F778" w:rsidR="00EA60DB" w:rsidRDefault="00EA60DB" w:rsidP="00EA60DB">
      <w:pPr>
        <w:numPr>
          <w:ilvl w:val="0"/>
          <w:numId w:val="41"/>
        </w:numPr>
        <w:spacing w:after="0" w:line="240" w:lineRule="auto"/>
        <w:contextualSpacing/>
      </w:pPr>
      <w:r>
        <w:t xml:space="preserve">Generators shall have a control panel for monitoring, </w:t>
      </w:r>
      <w:r w:rsidR="00BA2F9E">
        <w:t>starting,</w:t>
      </w:r>
      <w:r>
        <w:t xml:space="preserve"> and stopping the generator. Generators shall have current and voltage indication. The generator control system shall be capable of interfacing with a Telemetry and/or PLC based plant control system and provide remote operation and monitoring of the generator unit and transmission of alarms to the plant control system. The Deep-Sea Electronics DSE 7320MKII controller is preferred.</w:t>
      </w:r>
    </w:p>
    <w:p w14:paraId="0074D45A" w14:textId="77777777" w:rsidR="00EA60DB" w:rsidRDefault="00EA60DB" w:rsidP="00EA60DB">
      <w:pPr>
        <w:numPr>
          <w:ilvl w:val="0"/>
          <w:numId w:val="41"/>
        </w:numPr>
        <w:spacing w:after="0" w:line="240" w:lineRule="auto"/>
        <w:contextualSpacing/>
      </w:pPr>
      <w:r>
        <w:t>Generators shall have an engine protection and indication including but not limited to:</w:t>
      </w:r>
    </w:p>
    <w:p w14:paraId="1D03305A" w14:textId="77777777" w:rsidR="00EA60DB" w:rsidRDefault="00EA60DB" w:rsidP="00EA60DB">
      <w:pPr>
        <w:numPr>
          <w:ilvl w:val="0"/>
          <w:numId w:val="41"/>
        </w:numPr>
        <w:spacing w:after="0" w:line="240" w:lineRule="auto"/>
        <w:contextualSpacing/>
      </w:pPr>
      <w:r>
        <w:t>Low oil pressure shutdown</w:t>
      </w:r>
    </w:p>
    <w:p w14:paraId="1E62B441" w14:textId="77777777" w:rsidR="00EA60DB" w:rsidRDefault="00EA60DB" w:rsidP="00EA60DB">
      <w:pPr>
        <w:numPr>
          <w:ilvl w:val="0"/>
          <w:numId w:val="41"/>
        </w:numPr>
        <w:spacing w:after="0" w:line="240" w:lineRule="auto"/>
        <w:contextualSpacing/>
      </w:pPr>
      <w:r>
        <w:t>High engine temperature shutdown</w:t>
      </w:r>
    </w:p>
    <w:p w14:paraId="4BA9F27F" w14:textId="77777777" w:rsidR="00EA60DB" w:rsidRDefault="00EA60DB" w:rsidP="00EA60DB">
      <w:pPr>
        <w:numPr>
          <w:ilvl w:val="0"/>
          <w:numId w:val="41"/>
        </w:numPr>
        <w:spacing w:after="0" w:line="240" w:lineRule="auto"/>
        <w:contextualSpacing/>
      </w:pPr>
      <w:r>
        <w:t>Under speed shutdown</w:t>
      </w:r>
    </w:p>
    <w:p w14:paraId="51C8E244" w14:textId="1374CD7D" w:rsidR="00EA60DB" w:rsidRDefault="00EA60DB" w:rsidP="00EA60DB">
      <w:pPr>
        <w:numPr>
          <w:ilvl w:val="0"/>
          <w:numId w:val="41"/>
        </w:numPr>
        <w:spacing w:after="0" w:line="240" w:lineRule="auto"/>
        <w:contextualSpacing/>
      </w:pPr>
      <w:r>
        <w:t xml:space="preserve">Fuel level </w:t>
      </w:r>
      <w:r w:rsidR="00BA2F9E">
        <w:t>indication.</w:t>
      </w:r>
    </w:p>
    <w:p w14:paraId="229D310F" w14:textId="77777777" w:rsidR="00EA60DB" w:rsidRDefault="00EA60DB" w:rsidP="00EA60DB">
      <w:pPr>
        <w:numPr>
          <w:ilvl w:val="0"/>
          <w:numId w:val="41"/>
        </w:numPr>
        <w:spacing w:after="0" w:line="240" w:lineRule="auto"/>
        <w:contextualSpacing/>
      </w:pPr>
      <w:r>
        <w:t>Engine fault indication</w:t>
      </w:r>
    </w:p>
    <w:p w14:paraId="036FC493" w14:textId="77777777" w:rsidR="00EA60DB" w:rsidRDefault="00EA60DB" w:rsidP="00EA60DB">
      <w:pPr>
        <w:numPr>
          <w:ilvl w:val="0"/>
          <w:numId w:val="41"/>
        </w:numPr>
        <w:spacing w:after="0" w:line="240" w:lineRule="auto"/>
        <w:contextualSpacing/>
      </w:pPr>
      <w:r>
        <w:t>The generator shall be fitted with a lockable battery isolation switch.</w:t>
      </w:r>
    </w:p>
    <w:p w14:paraId="71D4F0C0" w14:textId="77777777" w:rsidR="00EA60DB" w:rsidRDefault="00EA60DB" w:rsidP="00EA60DB">
      <w:pPr>
        <w:numPr>
          <w:ilvl w:val="0"/>
          <w:numId w:val="41"/>
        </w:numPr>
        <w:spacing w:after="0" w:line="240" w:lineRule="auto"/>
        <w:contextualSpacing/>
      </w:pPr>
      <w:r>
        <w:t>Batteries shall be high quality sealed Absorbent Glass Mat (AGM) style batteries for long life in stationary applications.</w:t>
      </w:r>
    </w:p>
    <w:p w14:paraId="1124DC2E" w14:textId="2A54C4B6" w:rsidR="00EA60DB" w:rsidRDefault="00EA60DB" w:rsidP="00EA60DB">
      <w:pPr>
        <w:numPr>
          <w:ilvl w:val="0"/>
          <w:numId w:val="41"/>
        </w:numPr>
        <w:spacing w:after="0" w:line="240" w:lineRule="auto"/>
        <w:contextualSpacing/>
      </w:pPr>
      <w:r>
        <w:t xml:space="preserve">The generator shall be fitted with a battery charger (240VAC supply) to ensure the generator start battery is fully </w:t>
      </w:r>
      <w:proofErr w:type="gramStart"/>
      <w:r>
        <w:t>charged at all times</w:t>
      </w:r>
      <w:proofErr w:type="gramEnd"/>
      <w:r>
        <w:t xml:space="preserve">. As a minimum, the battery charger shall have integral fault indication voltage free contacts suitable for interfacing with the generator control unit (DSE 7320MKII) to deliver battery charger fault alarms to the </w:t>
      </w:r>
      <w:r w:rsidR="00BA2F9E">
        <w:t xml:space="preserve">telemetry and/or </w:t>
      </w:r>
      <w:r>
        <w:t>plant control system PLC.</w:t>
      </w:r>
    </w:p>
    <w:p w14:paraId="4E1F8FE0" w14:textId="77777777" w:rsidR="00EA60DB" w:rsidRDefault="00EA60DB" w:rsidP="00EA60DB">
      <w:pPr>
        <w:numPr>
          <w:ilvl w:val="0"/>
          <w:numId w:val="41"/>
        </w:numPr>
        <w:spacing w:after="0" w:line="240" w:lineRule="auto"/>
        <w:contextualSpacing/>
      </w:pPr>
      <w:r>
        <w:t>All generators shall have a main circuit breaker fitted to suit the prime rating of the generator. The main circuit breaker shall incorporate a captive lock-out device, lockable in the “OFF” position.</w:t>
      </w:r>
    </w:p>
    <w:p w14:paraId="2BDF62F0" w14:textId="77777777" w:rsidR="00EA60DB" w:rsidRDefault="00EA60DB" w:rsidP="00EA60DB">
      <w:pPr>
        <w:numPr>
          <w:ilvl w:val="0"/>
          <w:numId w:val="41"/>
        </w:numPr>
        <w:spacing w:after="0" w:line="240" w:lineRule="auto"/>
        <w:contextualSpacing/>
      </w:pPr>
      <w:r>
        <w:t>Generators shall have the appropriate facilities to terminate out going mains cables.</w:t>
      </w:r>
    </w:p>
    <w:p w14:paraId="33E34D81" w14:textId="77777777" w:rsidR="00EA60DB" w:rsidRDefault="00EA60DB" w:rsidP="00EA60DB">
      <w:pPr>
        <w:numPr>
          <w:ilvl w:val="0"/>
          <w:numId w:val="41"/>
        </w:numPr>
        <w:spacing w:after="0" w:line="240" w:lineRule="auto"/>
        <w:contextualSpacing/>
      </w:pPr>
      <w:r>
        <w:t>The alternator and engine will be fitted with a nameplate detailing ratings and primary specification data.</w:t>
      </w:r>
    </w:p>
    <w:p w14:paraId="3221302C" w14:textId="77777777" w:rsidR="00EA60DB" w:rsidRDefault="00EA60DB" w:rsidP="00EA60DB">
      <w:pPr>
        <w:numPr>
          <w:ilvl w:val="0"/>
          <w:numId w:val="41"/>
        </w:numPr>
        <w:spacing w:after="0" w:line="240" w:lineRule="auto"/>
        <w:contextualSpacing/>
      </w:pPr>
      <w:r>
        <w:t>Generators shall be independent units.</w:t>
      </w:r>
    </w:p>
    <w:p w14:paraId="3E41C773" w14:textId="77777777" w:rsidR="00EA60DB" w:rsidRDefault="00EA60DB" w:rsidP="00EA60DB">
      <w:pPr>
        <w:numPr>
          <w:ilvl w:val="0"/>
          <w:numId w:val="41"/>
        </w:numPr>
        <w:spacing w:after="0" w:line="240" w:lineRule="auto"/>
        <w:contextualSpacing/>
      </w:pPr>
      <w:r>
        <w:t>Generator units shall have load rated, four-point lifting lugs fitted.</w:t>
      </w:r>
    </w:p>
    <w:p w14:paraId="7C8D5AD8" w14:textId="77777777" w:rsidR="00EA60DB" w:rsidRDefault="00EA60DB" w:rsidP="00EA60DB">
      <w:pPr>
        <w:numPr>
          <w:ilvl w:val="0"/>
          <w:numId w:val="41"/>
        </w:numPr>
        <w:spacing w:after="0" w:line="240" w:lineRule="auto"/>
        <w:contextualSpacing/>
      </w:pPr>
      <w:r>
        <w:t xml:space="preserve">Generator shall have </w:t>
      </w:r>
      <w:proofErr w:type="gramStart"/>
      <w:r>
        <w:t>an</w:t>
      </w:r>
      <w:proofErr w:type="gramEnd"/>
      <w:r>
        <w:t xml:space="preserve"> minimum 1000 Litres integral fuel tank capable of supporting 24 hours run time at 100% rated load.  If additional external fuel storage is </w:t>
      </w:r>
      <w:proofErr w:type="gramStart"/>
      <w:r>
        <w:t>required</w:t>
      </w:r>
      <w:proofErr w:type="gramEnd"/>
      <w:r>
        <w:t xml:space="preserve"> it shall be approved by the Principal. External fuel storage tanks shall be bunded or self-contained allowing 110% of the volume of the fuel storage tank.  The integral fuel tank will be fitted with level indication.</w:t>
      </w:r>
    </w:p>
    <w:p w14:paraId="55E30907" w14:textId="77777777" w:rsidR="00EA60DB" w:rsidRDefault="00EA60DB" w:rsidP="00EA60DB">
      <w:pPr>
        <w:numPr>
          <w:ilvl w:val="0"/>
          <w:numId w:val="41"/>
        </w:numPr>
        <w:spacing w:after="0" w:line="240" w:lineRule="auto"/>
        <w:contextualSpacing/>
      </w:pPr>
      <w:r>
        <w:t>The Vendor will supply all special tooling, software and software licenses, programming cables, etc that are required to perform routine maintenance, operation and fault finding on the generator.</w:t>
      </w:r>
    </w:p>
    <w:p w14:paraId="01DE356D" w14:textId="2B24A614" w:rsidR="00EA60DB" w:rsidRDefault="00EA60DB" w:rsidP="00EA60DB">
      <w:pPr>
        <w:numPr>
          <w:ilvl w:val="0"/>
          <w:numId w:val="41"/>
        </w:numPr>
        <w:spacing w:after="0" w:line="240" w:lineRule="auto"/>
        <w:contextualSpacing/>
      </w:pPr>
      <w:r>
        <w:t>Vendor to provide vibration dampener/pads or confirm that no generator induced vibration will transfer to the foundation</w:t>
      </w:r>
      <w:r w:rsidR="00BA2F9E">
        <w:t xml:space="preserve">. </w:t>
      </w:r>
    </w:p>
    <w:p w14:paraId="65A88E86" w14:textId="77777777" w:rsidR="00BA2F9E" w:rsidRDefault="00BA2F9E" w:rsidP="00BA2F9E">
      <w:pPr>
        <w:spacing w:after="0" w:line="240" w:lineRule="auto"/>
        <w:contextualSpacing/>
      </w:pPr>
    </w:p>
    <w:p w14:paraId="125E5D07" w14:textId="77777777" w:rsidR="00BA2F9E" w:rsidRDefault="00BA2F9E" w:rsidP="00BA2F9E">
      <w:pPr>
        <w:spacing w:after="0" w:line="240" w:lineRule="auto"/>
        <w:contextualSpacing/>
      </w:pPr>
    </w:p>
    <w:p w14:paraId="2B080AF4" w14:textId="77777777" w:rsidR="00BA2F9E" w:rsidRDefault="00BA2F9E" w:rsidP="00BA2F9E">
      <w:pPr>
        <w:spacing w:after="0" w:line="240" w:lineRule="auto"/>
        <w:contextualSpacing/>
      </w:pPr>
    </w:p>
    <w:p w14:paraId="19155BB1" w14:textId="77777777" w:rsidR="00BA2F9E" w:rsidRPr="009717C3" w:rsidRDefault="00BA2F9E" w:rsidP="00BA2F9E">
      <w:pPr>
        <w:pStyle w:val="ListParagraph"/>
        <w:numPr>
          <w:ilvl w:val="1"/>
          <w:numId w:val="40"/>
        </w:numPr>
        <w:rPr>
          <w:sz w:val="26"/>
          <w:szCs w:val="26"/>
        </w:rPr>
      </w:pPr>
      <w:bookmarkStart w:id="0" w:name="_Toc86395166"/>
      <w:r w:rsidRPr="009717C3">
        <w:rPr>
          <w:sz w:val="26"/>
          <w:szCs w:val="26"/>
        </w:rPr>
        <w:lastRenderedPageBreak/>
        <w:t>Voltage levels</w:t>
      </w:r>
      <w:bookmarkEnd w:id="0"/>
    </w:p>
    <w:p w14:paraId="636B640C" w14:textId="77777777" w:rsidR="00BA2F9E" w:rsidRPr="00BA2F9E" w:rsidRDefault="00BA2F9E" w:rsidP="00BA2F9E">
      <w:r>
        <w:t xml:space="preserve">The power </w:t>
      </w:r>
      <w:r w:rsidRPr="00BA2F9E">
        <w:t>supply voltage levels are in accordance with AS60038. The applicable voltage levels are as follows.</w:t>
      </w:r>
    </w:p>
    <w:p w14:paraId="29EA1CE4" w14:textId="77777777" w:rsidR="00BA2F9E" w:rsidRPr="00BA2F9E" w:rsidRDefault="00BA2F9E" w:rsidP="00BA2F9E">
      <w:pPr>
        <w:pStyle w:val="ListParagraph"/>
        <w:numPr>
          <w:ilvl w:val="0"/>
          <w:numId w:val="42"/>
        </w:numPr>
        <w:spacing w:after="0" w:line="260" w:lineRule="atLeast"/>
      </w:pPr>
      <w:r>
        <w:t>LV site distribution:</w:t>
      </w:r>
      <w:r>
        <w:tab/>
      </w:r>
    </w:p>
    <w:p w14:paraId="15632C53" w14:textId="77777777" w:rsidR="00BA2F9E" w:rsidRDefault="00BA2F9E" w:rsidP="00BA2F9E">
      <w:pPr>
        <w:pStyle w:val="ListParagraph"/>
        <w:numPr>
          <w:ilvl w:val="1"/>
          <w:numId w:val="42"/>
        </w:numPr>
        <w:spacing w:after="0" w:line="260" w:lineRule="atLeast"/>
      </w:pPr>
      <w:r>
        <w:t xml:space="preserve">3 </w:t>
      </w:r>
      <w:proofErr w:type="gramStart"/>
      <w:r>
        <w:t>phase</w:t>
      </w:r>
      <w:proofErr w:type="gramEnd"/>
      <w:r>
        <w:t>, 4 wire, 400 Volt +10%, -6%, 50Hz, MEN system</w:t>
      </w:r>
    </w:p>
    <w:p w14:paraId="18A8294C" w14:textId="77777777" w:rsidR="00BA2F9E" w:rsidRPr="00BA2F9E" w:rsidRDefault="00BA2F9E" w:rsidP="00BA2F9E">
      <w:pPr>
        <w:pStyle w:val="ListBullet"/>
        <w:numPr>
          <w:ilvl w:val="1"/>
          <w:numId w:val="42"/>
        </w:numPr>
        <w:rPr>
          <w:rFonts w:ascii="Calibri" w:eastAsia="Calibri" w:hAnsi="Calibri" w:cs="Times New Roman"/>
          <w:color w:val="auto"/>
          <w:sz w:val="22"/>
          <w:szCs w:val="22"/>
          <w:lang w:eastAsia="en-US"/>
        </w:rPr>
      </w:pPr>
      <w:r w:rsidRPr="00BA2F9E">
        <w:rPr>
          <w:rFonts w:ascii="Calibri" w:eastAsia="Calibri" w:hAnsi="Calibri" w:cs="Times New Roman"/>
          <w:color w:val="auto"/>
          <w:sz w:val="22"/>
          <w:szCs w:val="22"/>
          <w:lang w:eastAsia="en-US"/>
        </w:rPr>
        <w:t xml:space="preserve">1 phase, 2 wire, 230 Volt +10%, -6%, </w:t>
      </w:r>
      <w:proofErr w:type="gramStart"/>
      <w:r w:rsidRPr="00BA2F9E">
        <w:rPr>
          <w:rFonts w:ascii="Calibri" w:eastAsia="Calibri" w:hAnsi="Calibri" w:cs="Times New Roman"/>
          <w:color w:val="auto"/>
          <w:sz w:val="22"/>
          <w:szCs w:val="22"/>
          <w:lang w:eastAsia="en-US"/>
        </w:rPr>
        <w:t>50Hz</w:t>
      </w:r>
      <w:proofErr w:type="gramEnd"/>
    </w:p>
    <w:p w14:paraId="0645047B" w14:textId="77777777" w:rsidR="00BA2F9E" w:rsidRPr="00BA2F9E" w:rsidRDefault="00BA2F9E" w:rsidP="00BA2F9E">
      <w:pPr>
        <w:pStyle w:val="ListBullet"/>
        <w:rPr>
          <w:rFonts w:ascii="Calibri" w:eastAsia="Calibri" w:hAnsi="Calibri" w:cs="Times New Roman"/>
          <w:color w:val="auto"/>
          <w:sz w:val="22"/>
          <w:szCs w:val="22"/>
          <w:lang w:eastAsia="en-US"/>
        </w:rPr>
      </w:pPr>
      <w:r w:rsidRPr="00BA2F9E">
        <w:rPr>
          <w:rFonts w:ascii="Calibri" w:eastAsia="Calibri" w:hAnsi="Calibri" w:cs="Times New Roman"/>
          <w:color w:val="auto"/>
          <w:sz w:val="22"/>
          <w:szCs w:val="22"/>
          <w:lang w:eastAsia="en-US"/>
        </w:rPr>
        <w:t xml:space="preserve">The low voltage power system will be solidly </w:t>
      </w:r>
      <w:proofErr w:type="gramStart"/>
      <w:r w:rsidRPr="00BA2F9E">
        <w:rPr>
          <w:rFonts w:ascii="Calibri" w:eastAsia="Calibri" w:hAnsi="Calibri" w:cs="Times New Roman"/>
          <w:color w:val="auto"/>
          <w:sz w:val="22"/>
          <w:szCs w:val="22"/>
          <w:lang w:eastAsia="en-US"/>
        </w:rPr>
        <w:t>earthed</w:t>
      </w:r>
      <w:proofErr w:type="gramEnd"/>
    </w:p>
    <w:p w14:paraId="20C99B2F" w14:textId="77777777" w:rsidR="00BA2F9E" w:rsidRPr="00BA2F9E" w:rsidRDefault="00BA2F9E" w:rsidP="00BA2F9E">
      <w:pPr>
        <w:pStyle w:val="ListBullet"/>
        <w:numPr>
          <w:ilvl w:val="0"/>
          <w:numId w:val="0"/>
        </w:numPr>
        <w:rPr>
          <w:rFonts w:ascii="Calibri" w:eastAsia="Calibri" w:hAnsi="Calibri" w:cs="Times New Roman"/>
          <w:color w:val="auto"/>
          <w:sz w:val="22"/>
          <w:szCs w:val="22"/>
          <w:lang w:eastAsia="en-US"/>
        </w:rPr>
      </w:pPr>
      <w:r w:rsidRPr="00BA2F9E">
        <w:rPr>
          <w:rFonts w:ascii="Calibri" w:eastAsia="Calibri" w:hAnsi="Calibri" w:cs="Times New Roman"/>
          <w:color w:val="auto"/>
          <w:sz w:val="22"/>
          <w:szCs w:val="22"/>
          <w:lang w:eastAsia="en-US"/>
        </w:rPr>
        <w:t>The equipment shall be suitable for connection to a three-phase electrical system having the following characteristics and be designed to operate under such conditions:</w:t>
      </w:r>
    </w:p>
    <w:p w14:paraId="71530BE6" w14:textId="77777777" w:rsidR="00BA2F9E" w:rsidRPr="00BA2F9E" w:rsidRDefault="00BA2F9E" w:rsidP="009717C3">
      <w:pPr>
        <w:pStyle w:val="ListBullet"/>
        <w:spacing w:after="0"/>
        <w:rPr>
          <w:rFonts w:ascii="Calibri" w:eastAsia="Calibri" w:hAnsi="Calibri" w:cs="Times New Roman"/>
          <w:color w:val="auto"/>
          <w:sz w:val="22"/>
          <w:szCs w:val="22"/>
          <w:lang w:eastAsia="en-US"/>
        </w:rPr>
      </w:pPr>
      <w:r w:rsidRPr="00BA2F9E">
        <w:rPr>
          <w:rFonts w:ascii="Calibri" w:eastAsia="Calibri" w:hAnsi="Calibri" w:cs="Times New Roman"/>
          <w:color w:val="auto"/>
          <w:sz w:val="22"/>
          <w:szCs w:val="22"/>
          <w:lang w:eastAsia="en-US"/>
        </w:rPr>
        <w:t>Steady State Voltage:</w:t>
      </w:r>
      <w:r w:rsidRPr="00BA2F9E">
        <w:rPr>
          <w:rFonts w:ascii="Calibri" w:eastAsia="Calibri" w:hAnsi="Calibri" w:cs="Times New Roman"/>
          <w:color w:val="auto"/>
          <w:sz w:val="22"/>
          <w:szCs w:val="22"/>
          <w:lang w:eastAsia="en-US"/>
        </w:rPr>
        <w:tab/>
      </w:r>
      <w:r w:rsidRPr="00BA2F9E">
        <w:rPr>
          <w:rFonts w:ascii="Calibri" w:eastAsia="Calibri" w:hAnsi="Calibri" w:cs="Times New Roman"/>
          <w:color w:val="auto"/>
          <w:sz w:val="22"/>
          <w:szCs w:val="22"/>
          <w:lang w:eastAsia="en-US"/>
        </w:rPr>
        <w:tab/>
        <w:t>± 5% nominal voltage</w:t>
      </w:r>
    </w:p>
    <w:p w14:paraId="19FC6EBE" w14:textId="069AA23B" w:rsidR="00BA2F9E" w:rsidRPr="00BA2F9E" w:rsidRDefault="00BA2F9E" w:rsidP="009717C3">
      <w:pPr>
        <w:pStyle w:val="ListBullet"/>
        <w:spacing w:after="0"/>
        <w:rPr>
          <w:rFonts w:ascii="Calibri" w:eastAsia="Calibri" w:hAnsi="Calibri" w:cs="Times New Roman"/>
          <w:color w:val="auto"/>
          <w:sz w:val="22"/>
          <w:szCs w:val="22"/>
          <w:lang w:eastAsia="en-US"/>
        </w:rPr>
      </w:pPr>
      <w:r w:rsidRPr="00BA2F9E">
        <w:rPr>
          <w:rFonts w:ascii="Calibri" w:eastAsia="Calibri" w:hAnsi="Calibri" w:cs="Times New Roman"/>
          <w:color w:val="auto"/>
          <w:sz w:val="22"/>
          <w:szCs w:val="22"/>
          <w:lang w:eastAsia="en-US"/>
        </w:rPr>
        <w:t>Steady State Frequency:</w:t>
      </w:r>
      <w:r w:rsidRPr="00BA2F9E">
        <w:rPr>
          <w:rFonts w:ascii="Calibri" w:eastAsia="Calibri" w:hAnsi="Calibri" w:cs="Times New Roman"/>
          <w:color w:val="auto"/>
          <w:sz w:val="22"/>
          <w:szCs w:val="22"/>
          <w:lang w:eastAsia="en-US"/>
        </w:rPr>
        <w:tab/>
        <w:t>± 2% nominal frequency</w:t>
      </w:r>
    </w:p>
    <w:p w14:paraId="04312FFE" w14:textId="77777777" w:rsidR="00BA2F9E" w:rsidRPr="00BA2F9E" w:rsidRDefault="00BA2F9E" w:rsidP="009717C3">
      <w:pPr>
        <w:pStyle w:val="ListBullet"/>
        <w:spacing w:after="0"/>
        <w:rPr>
          <w:rFonts w:ascii="Calibri" w:eastAsia="Calibri" w:hAnsi="Calibri" w:cs="Times New Roman"/>
          <w:color w:val="auto"/>
          <w:sz w:val="22"/>
          <w:szCs w:val="22"/>
          <w:lang w:eastAsia="en-US"/>
        </w:rPr>
      </w:pPr>
      <w:r w:rsidRPr="00BA2F9E">
        <w:rPr>
          <w:rFonts w:ascii="Calibri" w:eastAsia="Calibri" w:hAnsi="Calibri" w:cs="Times New Roman"/>
          <w:color w:val="auto"/>
          <w:sz w:val="22"/>
          <w:szCs w:val="22"/>
          <w:lang w:eastAsia="en-US"/>
        </w:rPr>
        <w:t>Transient Voltage:</w:t>
      </w:r>
      <w:r w:rsidRPr="00BA2F9E">
        <w:rPr>
          <w:rFonts w:ascii="Calibri" w:eastAsia="Calibri" w:hAnsi="Calibri" w:cs="Times New Roman"/>
          <w:color w:val="auto"/>
          <w:sz w:val="22"/>
          <w:szCs w:val="22"/>
          <w:lang w:eastAsia="en-US"/>
        </w:rPr>
        <w:tab/>
      </w:r>
      <w:r w:rsidRPr="00BA2F9E">
        <w:rPr>
          <w:rFonts w:ascii="Calibri" w:eastAsia="Calibri" w:hAnsi="Calibri" w:cs="Times New Roman"/>
          <w:color w:val="auto"/>
          <w:sz w:val="22"/>
          <w:szCs w:val="22"/>
          <w:lang w:eastAsia="en-US"/>
        </w:rPr>
        <w:tab/>
        <w:t>± 20% nominal voltage</w:t>
      </w:r>
    </w:p>
    <w:p w14:paraId="6E0AC2E4" w14:textId="77777777" w:rsidR="00BA2F9E" w:rsidRPr="00BA2F9E" w:rsidRDefault="00BA2F9E" w:rsidP="009717C3">
      <w:pPr>
        <w:pStyle w:val="ListBullet"/>
        <w:spacing w:after="0"/>
        <w:rPr>
          <w:rFonts w:ascii="Calibri" w:eastAsia="Calibri" w:hAnsi="Calibri" w:cs="Times New Roman"/>
          <w:color w:val="auto"/>
          <w:sz w:val="22"/>
          <w:szCs w:val="22"/>
          <w:lang w:eastAsia="en-US"/>
        </w:rPr>
      </w:pPr>
      <w:r w:rsidRPr="00BA2F9E">
        <w:rPr>
          <w:rFonts w:ascii="Calibri" w:eastAsia="Calibri" w:hAnsi="Calibri" w:cs="Times New Roman"/>
          <w:color w:val="auto"/>
          <w:sz w:val="22"/>
          <w:szCs w:val="22"/>
          <w:lang w:eastAsia="en-US"/>
        </w:rPr>
        <w:t>Transient Frequency:</w:t>
      </w:r>
      <w:r w:rsidRPr="00BA2F9E">
        <w:rPr>
          <w:rFonts w:ascii="Calibri" w:eastAsia="Calibri" w:hAnsi="Calibri" w:cs="Times New Roman"/>
          <w:color w:val="auto"/>
          <w:sz w:val="22"/>
          <w:szCs w:val="22"/>
          <w:lang w:eastAsia="en-US"/>
        </w:rPr>
        <w:tab/>
      </w:r>
      <w:r w:rsidRPr="00BA2F9E">
        <w:rPr>
          <w:rFonts w:ascii="Calibri" w:eastAsia="Calibri" w:hAnsi="Calibri" w:cs="Times New Roman"/>
          <w:color w:val="auto"/>
          <w:sz w:val="22"/>
          <w:szCs w:val="22"/>
          <w:lang w:eastAsia="en-US"/>
        </w:rPr>
        <w:tab/>
        <w:t>± 5% nominal frequency</w:t>
      </w:r>
    </w:p>
    <w:p w14:paraId="2DE397B2" w14:textId="77777777" w:rsidR="00BA2F9E" w:rsidRPr="00BA2F9E" w:rsidRDefault="00BA2F9E" w:rsidP="009717C3">
      <w:pPr>
        <w:pStyle w:val="ListBullet"/>
        <w:spacing w:after="0"/>
        <w:rPr>
          <w:rFonts w:ascii="Calibri" w:eastAsia="Calibri" w:hAnsi="Calibri" w:cs="Times New Roman"/>
          <w:color w:val="auto"/>
          <w:sz w:val="22"/>
          <w:szCs w:val="22"/>
          <w:lang w:eastAsia="en-US"/>
        </w:rPr>
      </w:pPr>
      <w:r w:rsidRPr="00BA2F9E">
        <w:rPr>
          <w:rFonts w:ascii="Calibri" w:eastAsia="Calibri" w:hAnsi="Calibri" w:cs="Times New Roman"/>
          <w:color w:val="auto"/>
          <w:sz w:val="22"/>
          <w:szCs w:val="22"/>
          <w:lang w:eastAsia="en-US"/>
        </w:rPr>
        <w:t>Total harmonic distortion:</w:t>
      </w:r>
      <w:r w:rsidRPr="00BA2F9E">
        <w:rPr>
          <w:rFonts w:ascii="Calibri" w:eastAsia="Calibri" w:hAnsi="Calibri" w:cs="Times New Roman"/>
          <w:color w:val="auto"/>
          <w:sz w:val="22"/>
          <w:szCs w:val="22"/>
          <w:lang w:eastAsia="en-US"/>
        </w:rPr>
        <w:tab/>
        <w:t>&lt; 5 %</w:t>
      </w:r>
    </w:p>
    <w:p w14:paraId="64C31DCC" w14:textId="77777777" w:rsidR="00BA2F9E" w:rsidRDefault="00BA2F9E" w:rsidP="00BA2F9E">
      <w:pPr>
        <w:pStyle w:val="Heading2"/>
        <w:rPr>
          <w:rFonts w:ascii="Calibri" w:eastAsia="Calibri" w:hAnsi="Calibri" w:cs="Times New Roman"/>
          <w:color w:val="auto"/>
          <w:sz w:val="22"/>
          <w:szCs w:val="22"/>
        </w:rPr>
      </w:pPr>
      <w:bookmarkStart w:id="1" w:name="_Toc72154046"/>
      <w:bookmarkStart w:id="2" w:name="_Toc86395167"/>
    </w:p>
    <w:p w14:paraId="0F3F4CAD" w14:textId="25FD5DF8" w:rsidR="00BA2F9E" w:rsidRPr="009717C3" w:rsidRDefault="00BA2F9E" w:rsidP="00BA2F9E">
      <w:pPr>
        <w:pStyle w:val="Heading2"/>
        <w:rPr>
          <w:rFonts w:ascii="Calibri" w:eastAsia="Calibri" w:hAnsi="Calibri" w:cs="Times New Roman"/>
          <w:color w:val="auto"/>
        </w:rPr>
      </w:pPr>
      <w:r w:rsidRPr="009717C3">
        <w:rPr>
          <w:rFonts w:ascii="Calibri" w:eastAsia="Calibri" w:hAnsi="Calibri" w:cs="Times New Roman"/>
          <w:color w:val="auto"/>
        </w:rPr>
        <w:t>1.3</w:t>
      </w:r>
      <w:r w:rsidRPr="009717C3">
        <w:rPr>
          <w:rFonts w:ascii="Calibri" w:eastAsia="Calibri" w:hAnsi="Calibri" w:cs="Times New Roman"/>
          <w:color w:val="auto"/>
        </w:rPr>
        <w:tab/>
        <w:t>Performance and Sizing Requirements</w:t>
      </w:r>
      <w:bookmarkEnd w:id="1"/>
      <w:bookmarkEnd w:id="2"/>
    </w:p>
    <w:p w14:paraId="1CC8C51F" w14:textId="036AC6A6" w:rsidR="00BA2F9E" w:rsidRPr="00BA2F9E" w:rsidRDefault="00BA2F9E" w:rsidP="00BA2F9E">
      <w:pPr>
        <w:pStyle w:val="Heading2"/>
        <w:rPr>
          <w:rFonts w:ascii="Calibri" w:eastAsia="Calibri" w:hAnsi="Calibri" w:cs="Times New Roman"/>
          <w:color w:val="auto"/>
          <w:sz w:val="22"/>
          <w:szCs w:val="22"/>
        </w:rPr>
      </w:pPr>
      <w:r w:rsidRPr="00BA2F9E">
        <w:rPr>
          <w:rFonts w:ascii="Calibri" w:eastAsia="Calibri" w:hAnsi="Calibri" w:cs="Times New Roman"/>
          <w:color w:val="auto"/>
          <w:sz w:val="22"/>
          <w:szCs w:val="22"/>
        </w:rPr>
        <w:t xml:space="preserve">The generator set shall be suitable for handling the plant load as per scope of work. </w:t>
      </w:r>
    </w:p>
    <w:p w14:paraId="21A95EB8" w14:textId="77777777" w:rsidR="00BA2F9E" w:rsidRDefault="00BA2F9E" w:rsidP="00BA2F9E">
      <w:pPr>
        <w:spacing w:after="0" w:line="240" w:lineRule="auto"/>
        <w:contextualSpacing/>
      </w:pPr>
    </w:p>
    <w:p w14:paraId="2E0BEE42" w14:textId="56BD8759" w:rsidR="00BA2F9E" w:rsidRPr="009717C3" w:rsidRDefault="00BA2F9E" w:rsidP="00BA2F9E">
      <w:pPr>
        <w:pStyle w:val="Heading2"/>
        <w:rPr>
          <w:rFonts w:ascii="Calibri" w:eastAsia="Calibri" w:hAnsi="Calibri" w:cs="Times New Roman"/>
          <w:color w:val="auto"/>
        </w:rPr>
      </w:pPr>
      <w:bookmarkStart w:id="3" w:name="_Toc72154047"/>
      <w:bookmarkStart w:id="4" w:name="_Toc86395168"/>
      <w:r w:rsidRPr="009717C3">
        <w:rPr>
          <w:rFonts w:ascii="Calibri" w:eastAsia="Calibri" w:hAnsi="Calibri" w:cs="Times New Roman"/>
          <w:color w:val="auto"/>
        </w:rPr>
        <w:t>1.4</w:t>
      </w:r>
      <w:r w:rsidRPr="009717C3">
        <w:rPr>
          <w:rFonts w:ascii="Calibri" w:eastAsia="Calibri" w:hAnsi="Calibri" w:cs="Times New Roman"/>
          <w:color w:val="auto"/>
        </w:rPr>
        <w:tab/>
        <w:t>Extent of the Work by the Supplier</w:t>
      </w:r>
      <w:bookmarkEnd w:id="3"/>
      <w:bookmarkEnd w:id="4"/>
      <w:r w:rsidRPr="009717C3">
        <w:rPr>
          <w:rFonts w:ascii="Calibri" w:eastAsia="Calibri" w:hAnsi="Calibri" w:cs="Times New Roman"/>
          <w:color w:val="auto"/>
        </w:rPr>
        <w:t xml:space="preserve"> </w:t>
      </w:r>
    </w:p>
    <w:p w14:paraId="1AC031CC" w14:textId="77777777" w:rsidR="00BA2F9E" w:rsidRDefault="00BA2F9E" w:rsidP="00BA2F9E">
      <w:pPr>
        <w:spacing w:before="120" w:after="120" w:line="240" w:lineRule="auto"/>
        <w:rPr>
          <w:rFonts w:cs="Calibri"/>
          <w:szCs w:val="18"/>
        </w:rPr>
      </w:pPr>
      <w:r>
        <w:rPr>
          <w:rFonts w:cs="Calibri"/>
          <w:szCs w:val="18"/>
        </w:rPr>
        <w:t>The Supplier shall perform the following:</w:t>
      </w:r>
    </w:p>
    <w:p w14:paraId="5A430E17" w14:textId="77777777" w:rsidR="00BA2F9E" w:rsidRDefault="00BA2F9E" w:rsidP="00BA2F9E">
      <w:pPr>
        <w:numPr>
          <w:ilvl w:val="0"/>
          <w:numId w:val="43"/>
        </w:numPr>
        <w:spacing w:after="0" w:line="240" w:lineRule="auto"/>
        <w:contextualSpacing/>
        <w:rPr>
          <w:rFonts w:cs="Calibri"/>
          <w:szCs w:val="18"/>
        </w:rPr>
      </w:pPr>
      <w:r>
        <w:rPr>
          <w:rFonts w:cs="Calibri"/>
          <w:szCs w:val="18"/>
        </w:rPr>
        <w:t>Size the Diesel Generating Set and associated load bank.</w:t>
      </w:r>
    </w:p>
    <w:p w14:paraId="59805DEC" w14:textId="3C279C87" w:rsidR="00BA2F9E" w:rsidRDefault="00BA2F9E" w:rsidP="00BA2F9E">
      <w:pPr>
        <w:numPr>
          <w:ilvl w:val="0"/>
          <w:numId w:val="43"/>
        </w:numPr>
        <w:spacing w:after="0" w:line="240" w:lineRule="auto"/>
        <w:contextualSpacing/>
        <w:rPr>
          <w:rFonts w:cs="Calibri"/>
          <w:szCs w:val="18"/>
        </w:rPr>
      </w:pPr>
      <w:r>
        <w:rPr>
          <w:rFonts w:cs="Calibri"/>
          <w:szCs w:val="18"/>
        </w:rPr>
        <w:t xml:space="preserve">Supply of generator and load bank including factory testing, documentation, and warranty, on a purpose-built slab, if need. </w:t>
      </w:r>
    </w:p>
    <w:p w14:paraId="2CA01135" w14:textId="77777777" w:rsidR="00BA2F9E" w:rsidRDefault="00BA2F9E" w:rsidP="00BA2F9E">
      <w:pPr>
        <w:numPr>
          <w:ilvl w:val="0"/>
          <w:numId w:val="43"/>
        </w:numPr>
        <w:spacing w:after="0" w:line="240" w:lineRule="auto"/>
        <w:contextualSpacing/>
        <w:rPr>
          <w:rFonts w:cs="Calibri"/>
          <w:szCs w:val="18"/>
        </w:rPr>
      </w:pPr>
      <w:r>
        <w:rPr>
          <w:rFonts w:cs="Calibri"/>
          <w:szCs w:val="18"/>
        </w:rPr>
        <w:t>Testing and commissioning of the Diesel Generating Set and resistive load bank at Factory Acceptance Test (FAT), Extended FAT (EFAT) and Site Acceptance Test (SAT).</w:t>
      </w:r>
    </w:p>
    <w:p w14:paraId="0D571946" w14:textId="77777777" w:rsidR="00BA2F9E" w:rsidRDefault="00BA2F9E" w:rsidP="00BA2F9E">
      <w:pPr>
        <w:spacing w:after="0" w:line="240" w:lineRule="auto"/>
        <w:contextualSpacing/>
      </w:pPr>
    </w:p>
    <w:p w14:paraId="7FA9843E" w14:textId="42D26BD7" w:rsidR="00BA2F9E" w:rsidRPr="009717C3" w:rsidRDefault="00BA2F9E" w:rsidP="00BA2F9E">
      <w:pPr>
        <w:pStyle w:val="Heading2"/>
        <w:rPr>
          <w:rFonts w:ascii="Calibri" w:eastAsia="Calibri" w:hAnsi="Calibri" w:cs="Times New Roman"/>
          <w:color w:val="auto"/>
        </w:rPr>
      </w:pPr>
      <w:bookmarkStart w:id="5" w:name="_Toc72154048"/>
      <w:bookmarkStart w:id="6" w:name="_Toc86395169"/>
      <w:r w:rsidRPr="009717C3">
        <w:rPr>
          <w:rFonts w:ascii="Calibri" w:eastAsia="Calibri" w:hAnsi="Calibri" w:cs="Times New Roman"/>
          <w:color w:val="auto"/>
        </w:rPr>
        <w:t>1.5</w:t>
      </w:r>
      <w:r w:rsidRPr="009717C3">
        <w:rPr>
          <w:rFonts w:ascii="Calibri" w:eastAsia="Calibri" w:hAnsi="Calibri" w:cs="Times New Roman"/>
          <w:color w:val="auto"/>
        </w:rPr>
        <w:tab/>
        <w:t>Design for Safety</w:t>
      </w:r>
      <w:bookmarkEnd w:id="5"/>
      <w:bookmarkEnd w:id="6"/>
    </w:p>
    <w:p w14:paraId="25433357" w14:textId="77777777" w:rsidR="00BA2F9E" w:rsidRDefault="00BA2F9E" w:rsidP="00BA2F9E">
      <w:pPr>
        <w:spacing w:before="120" w:after="120" w:line="240" w:lineRule="auto"/>
        <w:rPr>
          <w:rFonts w:cs="Calibri"/>
          <w:szCs w:val="18"/>
        </w:rPr>
      </w:pPr>
      <w:r>
        <w:rPr>
          <w:rFonts w:cs="Calibri"/>
          <w:bCs/>
          <w:szCs w:val="18"/>
        </w:rPr>
        <w:t xml:space="preserve">All works designed, constructed and equipment supplied shall maximise personal safety to all persons during operation and maintenance of the equipment. </w:t>
      </w:r>
      <w:r>
        <w:rPr>
          <w:rFonts w:cs="Calibri"/>
          <w:b/>
          <w:szCs w:val="18"/>
        </w:rPr>
        <w:t xml:space="preserve"> </w:t>
      </w:r>
      <w:r>
        <w:rPr>
          <w:rFonts w:cs="Calibri"/>
          <w:szCs w:val="18"/>
        </w:rPr>
        <w:t>Wherever possible systems shall be designed and constructed to protect against reasonably foreseeable misuse and damage to the facility and equipment.  Due consideration shall be made in the design of the equipment to simplify installation and termination of field cables.</w:t>
      </w:r>
    </w:p>
    <w:p w14:paraId="221F2256" w14:textId="77777777" w:rsidR="00BA2F9E" w:rsidRPr="009717C3" w:rsidRDefault="00BA2F9E" w:rsidP="00BA2F9E">
      <w:pPr>
        <w:pStyle w:val="Heading2"/>
        <w:rPr>
          <w:rFonts w:ascii="Calibri" w:eastAsia="Calibri" w:hAnsi="Calibri" w:cs="Times New Roman"/>
          <w:color w:val="auto"/>
        </w:rPr>
      </w:pPr>
      <w:bookmarkStart w:id="7" w:name="_Toc72154049"/>
      <w:bookmarkStart w:id="8" w:name="_Toc86395170"/>
    </w:p>
    <w:p w14:paraId="50226451" w14:textId="4930FDD0" w:rsidR="00BA2F9E" w:rsidRPr="009717C3" w:rsidRDefault="00BA2F9E" w:rsidP="00BA2F9E">
      <w:pPr>
        <w:pStyle w:val="Heading2"/>
        <w:rPr>
          <w:rFonts w:ascii="Calibri" w:eastAsia="Calibri" w:hAnsi="Calibri" w:cs="Times New Roman"/>
          <w:color w:val="auto"/>
        </w:rPr>
      </w:pPr>
      <w:r w:rsidRPr="009717C3">
        <w:rPr>
          <w:rFonts w:ascii="Calibri" w:eastAsia="Calibri" w:hAnsi="Calibri" w:cs="Times New Roman"/>
          <w:color w:val="auto"/>
        </w:rPr>
        <w:t>1.6</w:t>
      </w:r>
      <w:r w:rsidRPr="009717C3">
        <w:rPr>
          <w:rFonts w:ascii="Calibri" w:eastAsia="Calibri" w:hAnsi="Calibri" w:cs="Times New Roman"/>
          <w:color w:val="auto"/>
        </w:rPr>
        <w:tab/>
        <w:t>Schedule of Non-Conformance</w:t>
      </w:r>
      <w:bookmarkEnd w:id="7"/>
      <w:bookmarkEnd w:id="8"/>
    </w:p>
    <w:p w14:paraId="526F5BAE" w14:textId="77777777" w:rsidR="00BA2F9E" w:rsidRDefault="00BA2F9E" w:rsidP="00BA2F9E">
      <w:pPr>
        <w:spacing w:before="120" w:after="120" w:line="240" w:lineRule="auto"/>
        <w:rPr>
          <w:rFonts w:cs="Calibri"/>
          <w:szCs w:val="18"/>
        </w:rPr>
      </w:pPr>
      <w:r>
        <w:rPr>
          <w:rFonts w:cs="Calibri"/>
          <w:szCs w:val="18"/>
        </w:rPr>
        <w:t>If there are significant technical reasons for not being able to conform to the Specification, Datasheets and/or Drawings, then the Supplier shall submit a schedule of non-conformance detailing the reason for and proposed alternative to that specified.</w:t>
      </w:r>
    </w:p>
    <w:p w14:paraId="151CFD67" w14:textId="1F1293C3" w:rsidR="00BA2F9E" w:rsidRDefault="00BA2F9E" w:rsidP="00BA2F9E">
      <w:pPr>
        <w:spacing w:before="120" w:after="120" w:line="240" w:lineRule="auto"/>
        <w:rPr>
          <w:rFonts w:cs="Calibri"/>
          <w:szCs w:val="18"/>
        </w:rPr>
      </w:pPr>
      <w:r>
        <w:rPr>
          <w:rFonts w:cs="Calibri"/>
          <w:szCs w:val="18"/>
        </w:rPr>
        <w:t>Any deviations from the standard specification, that are considered valid and acceptable, must be approved in writing by BSC prior to commencement of the Contract works.</w:t>
      </w:r>
    </w:p>
    <w:p w14:paraId="14320E12" w14:textId="5F43059A" w:rsidR="00BA2F9E" w:rsidRDefault="00BA2F9E" w:rsidP="00BA2F9E">
      <w:pPr>
        <w:spacing w:before="120" w:after="120" w:line="240" w:lineRule="auto"/>
        <w:rPr>
          <w:rFonts w:cs="Calibri"/>
          <w:b/>
          <w:bCs/>
          <w:szCs w:val="18"/>
        </w:rPr>
      </w:pPr>
      <w:r>
        <w:rPr>
          <w:rFonts w:cs="Calibri"/>
          <w:b/>
          <w:bCs/>
          <w:szCs w:val="18"/>
        </w:rPr>
        <w:t>If the Supplier does not submit a schedule of non-conformance, the Supplier will be obliged to supply all goods, equipment, and services as specified.</w:t>
      </w:r>
    </w:p>
    <w:p w14:paraId="7D13DEE9" w14:textId="77777777" w:rsidR="009717C3" w:rsidRDefault="009717C3" w:rsidP="00BA2F9E">
      <w:pPr>
        <w:spacing w:before="120" w:after="120" w:line="240" w:lineRule="auto"/>
        <w:rPr>
          <w:rFonts w:cs="Calibri"/>
          <w:sz w:val="20"/>
          <w:szCs w:val="20"/>
        </w:rPr>
      </w:pPr>
    </w:p>
    <w:p w14:paraId="72A70B1F" w14:textId="53D238C9" w:rsidR="00BA2F9E" w:rsidRPr="009717C3" w:rsidRDefault="00BA2F9E" w:rsidP="00BA2F9E">
      <w:pPr>
        <w:pStyle w:val="Heading2"/>
        <w:rPr>
          <w:rFonts w:ascii="Calibri" w:eastAsia="Calibri" w:hAnsi="Calibri" w:cs="Times New Roman"/>
          <w:color w:val="auto"/>
        </w:rPr>
      </w:pPr>
      <w:bookmarkStart w:id="9" w:name="_Toc72154050"/>
      <w:bookmarkStart w:id="10" w:name="_Toc86395171"/>
      <w:r w:rsidRPr="009717C3">
        <w:rPr>
          <w:rFonts w:ascii="Calibri" w:eastAsia="Calibri" w:hAnsi="Calibri" w:cs="Times New Roman"/>
          <w:color w:val="auto"/>
        </w:rPr>
        <w:lastRenderedPageBreak/>
        <w:t>2</w:t>
      </w:r>
      <w:r w:rsidRPr="009717C3">
        <w:rPr>
          <w:rFonts w:ascii="Calibri" w:eastAsia="Calibri" w:hAnsi="Calibri" w:cs="Times New Roman"/>
          <w:color w:val="auto"/>
        </w:rPr>
        <w:tab/>
        <w:t>Statutory Regulation and Standards</w:t>
      </w:r>
      <w:bookmarkEnd w:id="9"/>
      <w:bookmarkEnd w:id="10"/>
    </w:p>
    <w:p w14:paraId="0D6292DC" w14:textId="77777777" w:rsidR="00BA2F9E" w:rsidRPr="00BA2F9E" w:rsidRDefault="00BA2F9E" w:rsidP="00BA2F9E">
      <w:pPr>
        <w:pStyle w:val="Heading2"/>
        <w:rPr>
          <w:rFonts w:ascii="Calibri" w:eastAsia="Calibri" w:hAnsi="Calibri" w:cs="Times New Roman"/>
          <w:color w:val="auto"/>
          <w:sz w:val="22"/>
          <w:szCs w:val="22"/>
        </w:rPr>
      </w:pPr>
      <w:r w:rsidRPr="00BA2F9E">
        <w:rPr>
          <w:rFonts w:ascii="Calibri" w:eastAsia="Calibri" w:hAnsi="Calibri" w:cs="Times New Roman"/>
          <w:color w:val="auto"/>
          <w:sz w:val="22"/>
          <w:szCs w:val="22"/>
        </w:rPr>
        <w:t>The Vendor shall supply all goods and services under the contract to meet all statutory requirements that apply to the installation concerned.  The latest issue of the applicable national, state, and local regulations and mandatory Codes of Practice, together with any modifications or addenda in effect on the date of the Contract, shall be used.</w:t>
      </w:r>
    </w:p>
    <w:p w14:paraId="19A8B94C" w14:textId="77777777" w:rsidR="00BA2F9E" w:rsidRDefault="00BA2F9E" w:rsidP="00BA2F9E">
      <w:pPr>
        <w:spacing w:line="240" w:lineRule="auto"/>
      </w:pPr>
      <w:r>
        <w:t xml:space="preserve">Standards referenced in this Specification shall be applied in full as a minimum, together with any additional requirements of this Specification. </w:t>
      </w:r>
    </w:p>
    <w:p w14:paraId="4F6169F6" w14:textId="754E6967" w:rsidR="00BA2F9E" w:rsidRDefault="00BA2F9E" w:rsidP="00BA2F9E">
      <w:pPr>
        <w:spacing w:line="240" w:lineRule="auto"/>
      </w:pPr>
      <w:r>
        <w:t>In the event of a conflict within this Specification (including reference documents) or a conflict that arises due to a change of a regulatory requirement after the date of the Contract, the Principal shall be notified immediately to resolve the matter and an approved dispensation or variation shall be obtained prior to starting the related work.</w:t>
      </w:r>
    </w:p>
    <w:p w14:paraId="2641F69F" w14:textId="22E53718" w:rsidR="00BA2F9E" w:rsidRPr="009717C3" w:rsidRDefault="00BA2F9E" w:rsidP="009717C3">
      <w:pPr>
        <w:rPr>
          <w:sz w:val="26"/>
          <w:szCs w:val="26"/>
        </w:rPr>
      </w:pPr>
      <w:r w:rsidRPr="009717C3">
        <w:rPr>
          <w:sz w:val="26"/>
          <w:szCs w:val="26"/>
        </w:rPr>
        <w:t>2.1</w:t>
      </w:r>
      <w:r w:rsidRPr="009717C3">
        <w:rPr>
          <w:sz w:val="26"/>
          <w:szCs w:val="26"/>
        </w:rPr>
        <w:tab/>
        <w:t>Statutory Authorities</w:t>
      </w:r>
    </w:p>
    <w:p w14:paraId="54BCD97B" w14:textId="77777777" w:rsidR="00BA2F9E" w:rsidRDefault="00BA2F9E" w:rsidP="00BA2F9E">
      <w:pPr>
        <w:spacing w:before="120" w:after="120" w:line="240" w:lineRule="auto"/>
        <w:rPr>
          <w:rFonts w:cs="Calibri"/>
          <w:sz w:val="18"/>
          <w:szCs w:val="18"/>
        </w:rPr>
      </w:pPr>
      <w:r>
        <w:rPr>
          <w:rFonts w:cs="Calibri"/>
          <w:szCs w:val="18"/>
        </w:rPr>
        <w:t>Without limiting the Supplier’s obligations under the Contract, the work and equipment shall comply with the requirements of all statutory authorities, including, but not limited to the following:</w:t>
      </w:r>
    </w:p>
    <w:p w14:paraId="6BF022FE" w14:textId="77777777" w:rsidR="00BA2F9E" w:rsidRDefault="00BA2F9E" w:rsidP="00BA2F9E">
      <w:pPr>
        <w:numPr>
          <w:ilvl w:val="0"/>
          <w:numId w:val="44"/>
        </w:numPr>
        <w:spacing w:after="0" w:line="240" w:lineRule="auto"/>
        <w:contextualSpacing/>
        <w:rPr>
          <w:rFonts w:cs="Calibri"/>
          <w:szCs w:val="18"/>
        </w:rPr>
      </w:pPr>
      <w:r>
        <w:rPr>
          <w:rFonts w:cs="Calibri"/>
          <w:szCs w:val="18"/>
        </w:rPr>
        <w:t>Queensland Electrical Safety Act.</w:t>
      </w:r>
    </w:p>
    <w:p w14:paraId="767B538B" w14:textId="77777777" w:rsidR="00BA2F9E" w:rsidRDefault="00BA2F9E" w:rsidP="00BA2F9E">
      <w:pPr>
        <w:numPr>
          <w:ilvl w:val="0"/>
          <w:numId w:val="44"/>
        </w:numPr>
        <w:spacing w:after="0" w:line="240" w:lineRule="auto"/>
        <w:contextualSpacing/>
        <w:rPr>
          <w:rFonts w:cs="Calibri"/>
          <w:szCs w:val="18"/>
        </w:rPr>
      </w:pPr>
      <w:r>
        <w:rPr>
          <w:rFonts w:cs="Calibri"/>
          <w:szCs w:val="18"/>
        </w:rPr>
        <w:t>Queensland Electrical Safety Regulation.</w:t>
      </w:r>
    </w:p>
    <w:p w14:paraId="744103A3" w14:textId="77777777" w:rsidR="00BA2F9E" w:rsidRDefault="00BA2F9E" w:rsidP="00BA2F9E">
      <w:pPr>
        <w:numPr>
          <w:ilvl w:val="0"/>
          <w:numId w:val="44"/>
        </w:numPr>
        <w:spacing w:after="0" w:line="240" w:lineRule="auto"/>
        <w:contextualSpacing/>
        <w:rPr>
          <w:rFonts w:cs="Calibri"/>
          <w:szCs w:val="18"/>
        </w:rPr>
      </w:pPr>
      <w:r>
        <w:rPr>
          <w:rFonts w:cs="Calibri"/>
          <w:szCs w:val="18"/>
        </w:rPr>
        <w:t>Queensland Work Health and Safety Act.</w:t>
      </w:r>
    </w:p>
    <w:p w14:paraId="7D358610" w14:textId="77777777" w:rsidR="00BA2F9E" w:rsidRDefault="00BA2F9E" w:rsidP="00BA2F9E">
      <w:pPr>
        <w:numPr>
          <w:ilvl w:val="0"/>
          <w:numId w:val="44"/>
        </w:numPr>
        <w:spacing w:after="0" w:line="240" w:lineRule="auto"/>
        <w:contextualSpacing/>
        <w:rPr>
          <w:rFonts w:cs="Calibri"/>
          <w:szCs w:val="18"/>
        </w:rPr>
      </w:pPr>
      <w:r>
        <w:rPr>
          <w:rFonts w:cs="Calibri"/>
          <w:szCs w:val="18"/>
        </w:rPr>
        <w:t>Work Cover – Low Voltage Electrical Work Code of Practice 2001</w:t>
      </w:r>
    </w:p>
    <w:p w14:paraId="09650BC7" w14:textId="77777777" w:rsidR="00BA2F9E" w:rsidRDefault="00BA2F9E" w:rsidP="00BA2F9E">
      <w:pPr>
        <w:numPr>
          <w:ilvl w:val="0"/>
          <w:numId w:val="44"/>
        </w:numPr>
        <w:spacing w:after="0" w:line="240" w:lineRule="auto"/>
        <w:contextualSpacing/>
        <w:rPr>
          <w:rFonts w:cs="Calibri"/>
          <w:szCs w:val="18"/>
        </w:rPr>
      </w:pPr>
      <w:r>
        <w:rPr>
          <w:rFonts w:cs="Calibri"/>
          <w:szCs w:val="18"/>
        </w:rPr>
        <w:t>Environmental Protection Act 1994 (QLD).</w:t>
      </w:r>
    </w:p>
    <w:p w14:paraId="03C9DB9E" w14:textId="5D57BFA9" w:rsidR="00BA2F9E" w:rsidRDefault="00BA2F9E" w:rsidP="00BA2F9E">
      <w:pPr>
        <w:numPr>
          <w:ilvl w:val="0"/>
          <w:numId w:val="44"/>
        </w:numPr>
        <w:spacing w:after="0" w:line="240" w:lineRule="auto"/>
        <w:contextualSpacing/>
        <w:rPr>
          <w:rFonts w:cs="Calibri"/>
          <w:szCs w:val="18"/>
        </w:rPr>
      </w:pPr>
      <w:r>
        <w:rPr>
          <w:rFonts w:cs="Calibri"/>
          <w:szCs w:val="18"/>
        </w:rPr>
        <w:t>Dangerous Goods Safety Management Act 2001 (QLD).</w:t>
      </w:r>
    </w:p>
    <w:p w14:paraId="3A35E9AB" w14:textId="77777777" w:rsidR="009717C3" w:rsidRPr="009717C3" w:rsidRDefault="009717C3" w:rsidP="009717C3">
      <w:pPr>
        <w:spacing w:after="0" w:line="240" w:lineRule="auto"/>
        <w:contextualSpacing/>
        <w:rPr>
          <w:rFonts w:cs="Calibri"/>
          <w:szCs w:val="18"/>
        </w:rPr>
      </w:pPr>
    </w:p>
    <w:p w14:paraId="46A1B1CF" w14:textId="60644706" w:rsidR="00BA2F9E" w:rsidRPr="009717C3" w:rsidRDefault="00BA2F9E" w:rsidP="00BA2F9E">
      <w:pPr>
        <w:spacing w:line="240" w:lineRule="auto"/>
        <w:rPr>
          <w:sz w:val="26"/>
          <w:szCs w:val="26"/>
        </w:rPr>
      </w:pPr>
      <w:bookmarkStart w:id="11" w:name="_Toc86395173"/>
      <w:r w:rsidRPr="009717C3">
        <w:rPr>
          <w:sz w:val="26"/>
          <w:szCs w:val="26"/>
        </w:rPr>
        <w:t>2.2</w:t>
      </w:r>
      <w:r w:rsidRPr="009717C3">
        <w:rPr>
          <w:sz w:val="26"/>
          <w:szCs w:val="26"/>
        </w:rPr>
        <w:tab/>
        <w:t>Standards</w:t>
      </w:r>
      <w:bookmarkEnd w:id="11"/>
    </w:p>
    <w:p w14:paraId="6203DE6E" w14:textId="2A512961" w:rsidR="00BA2F9E" w:rsidRDefault="00BA2F9E" w:rsidP="00BA2F9E">
      <w:r>
        <w:t>The reference documents listed below form an integral part of this Specification. Unless otherwise stipulated, the applicable version of these documents, including relevant appendices and supplements, shall be the latest revision published as of the date of the Contract.</w:t>
      </w:r>
    </w:p>
    <w:tbl>
      <w:tblPr>
        <w:tblStyle w:val="SMECTable411"/>
        <w:tblW w:w="9498" w:type="dxa"/>
        <w:jc w:val="center"/>
        <w:tblInd w:w="0" w:type="dxa"/>
        <w:tblLook w:val="04A0" w:firstRow="1" w:lastRow="0" w:firstColumn="1" w:lastColumn="0" w:noHBand="0" w:noVBand="1"/>
      </w:tblPr>
      <w:tblGrid>
        <w:gridCol w:w="4962"/>
        <w:gridCol w:w="4536"/>
      </w:tblGrid>
      <w:tr w:rsidR="00BA2F9E" w14:paraId="3610084C" w14:textId="77777777" w:rsidTr="00BA2F9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single" w:sz="4" w:space="0" w:color="FFFFFF" w:themeColor="background1"/>
            </w:tcBorders>
            <w:hideMark/>
          </w:tcPr>
          <w:p w14:paraId="49791427" w14:textId="77777777" w:rsidR="00BA2F9E" w:rsidRDefault="00BA2F9E">
            <w:pPr>
              <w:pStyle w:val="TableHeader"/>
            </w:pPr>
            <w:bookmarkStart w:id="12" w:name="_Hlk72159816"/>
            <w:r>
              <w:t>Standard Reference</w:t>
            </w:r>
          </w:p>
        </w:tc>
        <w:tc>
          <w:tcPr>
            <w:tcW w:w="4536" w:type="dxa"/>
            <w:tcBorders>
              <w:top w:val="nil"/>
              <w:bottom w:val="single" w:sz="4" w:space="0" w:color="FFFFFF" w:themeColor="background1"/>
              <w:right w:val="nil"/>
            </w:tcBorders>
            <w:hideMark/>
          </w:tcPr>
          <w:p w14:paraId="4506EF1D" w14:textId="77777777" w:rsidR="00BA2F9E" w:rsidRDefault="00BA2F9E">
            <w:pPr>
              <w:pStyle w:val="TableHeader"/>
              <w:cnfStyle w:val="100000000000" w:firstRow="1" w:lastRow="0" w:firstColumn="0" w:lastColumn="0" w:oddVBand="0" w:evenVBand="0" w:oddHBand="0" w:evenHBand="0" w:firstRowFirstColumn="0" w:firstRowLastColumn="0" w:lastRowFirstColumn="0" w:lastRowLastColumn="0"/>
            </w:pPr>
            <w:r>
              <w:t>Title</w:t>
            </w:r>
          </w:p>
        </w:tc>
      </w:tr>
      <w:tr w:rsidR="00BA2F9E" w14:paraId="57708E62"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201B2081" w14:textId="77777777" w:rsidR="00BA2F9E" w:rsidRPr="00063B67" w:rsidRDefault="00BA2F9E">
            <w:pPr>
              <w:pStyle w:val="TableText"/>
              <w:rPr>
                <w:color w:val="auto"/>
                <w:sz w:val="22"/>
                <w:szCs w:val="22"/>
              </w:rPr>
            </w:pPr>
            <w:r w:rsidRPr="00063B67">
              <w:rPr>
                <w:color w:val="auto"/>
                <w:sz w:val="22"/>
                <w:szCs w:val="22"/>
              </w:rPr>
              <w:t>AS 1101</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4BBAC6FC" w14:textId="77777777" w:rsidR="00BA2F9E" w:rsidRPr="00063B67" w:rsidRDefault="00BA2F9E">
            <w:pPr>
              <w:pStyle w:val="TableText"/>
              <w:cnfStyle w:val="000000000000" w:firstRow="0" w:lastRow="0" w:firstColumn="0" w:lastColumn="0" w:oddVBand="0" w:evenVBand="0" w:oddHBand="0" w:evenHBand="0" w:firstRowFirstColumn="0" w:firstRowLastColumn="0" w:lastRowFirstColumn="0" w:lastRowLastColumn="0"/>
              <w:rPr>
                <w:color w:val="auto"/>
                <w:sz w:val="22"/>
                <w:szCs w:val="22"/>
              </w:rPr>
            </w:pPr>
            <w:r w:rsidRPr="00063B67">
              <w:rPr>
                <w:color w:val="auto"/>
                <w:sz w:val="22"/>
                <w:szCs w:val="22"/>
              </w:rPr>
              <w:t>Graphic Symbols for General Engineering</w:t>
            </w:r>
          </w:p>
        </w:tc>
      </w:tr>
      <w:tr w:rsidR="00BA2F9E" w14:paraId="02CAD4A6"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14132177" w14:textId="77777777" w:rsidR="00BA2F9E" w:rsidRPr="00063B67" w:rsidRDefault="00BA2F9E">
            <w:pPr>
              <w:rPr>
                <w:rFonts w:asciiTheme="minorHAnsi" w:hAnsiTheme="minorHAnsi"/>
                <w:color w:val="auto"/>
              </w:rPr>
            </w:pPr>
            <w:r w:rsidRPr="00063B67">
              <w:rPr>
                <w:rFonts w:asciiTheme="minorHAnsi" w:hAnsiTheme="minorHAnsi"/>
                <w:color w:val="auto"/>
              </w:rPr>
              <w:t>AS/NZS 1102</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3CF7A03B" w14:textId="77777777" w:rsidR="00BA2F9E" w:rsidRPr="00063B67" w:rsidRDefault="00BA2F9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063B67">
              <w:rPr>
                <w:rFonts w:asciiTheme="minorHAnsi" w:hAnsiTheme="minorHAnsi"/>
                <w:color w:val="auto"/>
              </w:rPr>
              <w:t>Graphical Symbols for Electrotechnical Documentation</w:t>
            </w:r>
          </w:p>
        </w:tc>
      </w:tr>
      <w:tr w:rsidR="00BA2F9E" w14:paraId="30BE3219"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3A4C9648" w14:textId="77777777" w:rsidR="00BA2F9E" w:rsidRPr="00063B67" w:rsidRDefault="00BA2F9E">
            <w:pPr>
              <w:pStyle w:val="TableText"/>
              <w:rPr>
                <w:color w:val="auto"/>
                <w:sz w:val="22"/>
                <w:szCs w:val="22"/>
              </w:rPr>
            </w:pPr>
            <w:r w:rsidRPr="00063B67">
              <w:rPr>
                <w:color w:val="auto"/>
                <w:sz w:val="22"/>
                <w:szCs w:val="22"/>
              </w:rPr>
              <w:t>AS/NZS 1170.2</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272E27EB" w14:textId="77777777" w:rsidR="00BA2F9E" w:rsidRPr="00063B67" w:rsidRDefault="00BA2F9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063B67">
              <w:rPr>
                <w:rFonts w:asciiTheme="minorHAnsi" w:hAnsiTheme="minorHAnsi"/>
                <w:color w:val="auto"/>
              </w:rPr>
              <w:t>Structural design actions – Wind actions</w:t>
            </w:r>
          </w:p>
        </w:tc>
      </w:tr>
      <w:tr w:rsidR="00BA2F9E" w14:paraId="54324D48"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0B94A6C0" w14:textId="77777777" w:rsidR="00BA2F9E" w:rsidRPr="00063B67" w:rsidRDefault="00BA2F9E">
            <w:pPr>
              <w:pStyle w:val="TableText"/>
              <w:rPr>
                <w:color w:val="auto"/>
                <w:sz w:val="22"/>
                <w:szCs w:val="22"/>
              </w:rPr>
            </w:pPr>
            <w:r w:rsidRPr="00063B67">
              <w:rPr>
                <w:color w:val="auto"/>
                <w:sz w:val="22"/>
                <w:szCs w:val="22"/>
              </w:rPr>
              <w:t>AS 1359.106</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60CDDA08" w14:textId="77777777" w:rsidR="00BA2F9E" w:rsidRPr="00063B67" w:rsidRDefault="00BA2F9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063B67">
              <w:rPr>
                <w:rFonts w:asciiTheme="minorHAnsi" w:hAnsiTheme="minorHAnsi"/>
                <w:color w:val="auto"/>
              </w:rPr>
              <w:t>Rotating electrical machines – General Requirements – Methods of cooling (IC Code)</w:t>
            </w:r>
          </w:p>
        </w:tc>
      </w:tr>
      <w:tr w:rsidR="00BA2F9E" w14:paraId="676F74AA"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28CB9DF9" w14:textId="77777777" w:rsidR="00BA2F9E" w:rsidRPr="00063B67" w:rsidRDefault="00BA2F9E">
            <w:pPr>
              <w:pStyle w:val="TableText"/>
              <w:rPr>
                <w:color w:val="auto"/>
                <w:sz w:val="22"/>
                <w:szCs w:val="22"/>
              </w:rPr>
            </w:pPr>
            <w:r w:rsidRPr="00063B67">
              <w:rPr>
                <w:color w:val="auto"/>
                <w:sz w:val="22"/>
                <w:szCs w:val="22"/>
              </w:rPr>
              <w:t>AS 1375</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267812A1" w14:textId="77777777" w:rsidR="00BA2F9E" w:rsidRPr="00063B67" w:rsidRDefault="00BA2F9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063B67">
              <w:rPr>
                <w:rFonts w:asciiTheme="minorHAnsi" w:hAnsiTheme="minorHAnsi"/>
                <w:color w:val="auto"/>
              </w:rPr>
              <w:t>SAA Industrial Fuel-Fired Appliance Code</w:t>
            </w:r>
          </w:p>
        </w:tc>
      </w:tr>
      <w:tr w:rsidR="00BA2F9E" w14:paraId="4AAAF6DD"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39DB9738" w14:textId="77777777" w:rsidR="00BA2F9E" w:rsidRPr="00063B67" w:rsidRDefault="00BA2F9E">
            <w:pPr>
              <w:pStyle w:val="TableText"/>
              <w:rPr>
                <w:color w:val="auto"/>
                <w:sz w:val="22"/>
                <w:szCs w:val="22"/>
              </w:rPr>
            </w:pPr>
            <w:r w:rsidRPr="00063B67">
              <w:rPr>
                <w:color w:val="auto"/>
                <w:sz w:val="22"/>
                <w:szCs w:val="22"/>
              </w:rPr>
              <w:t>AS 1627</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384503AE" w14:textId="77777777" w:rsidR="00BA2F9E" w:rsidRPr="00063B67" w:rsidRDefault="00BA2F9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063B67">
              <w:rPr>
                <w:rFonts w:asciiTheme="minorHAnsi" w:hAnsiTheme="minorHAnsi"/>
                <w:color w:val="auto"/>
              </w:rPr>
              <w:t>Metal finishing – Preparation and pre-treatment of surfaces</w:t>
            </w:r>
          </w:p>
        </w:tc>
      </w:tr>
      <w:tr w:rsidR="00BA2F9E" w14:paraId="14EE542C"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1BCD4F29" w14:textId="77777777" w:rsidR="00BA2F9E" w:rsidRPr="00063B67" w:rsidRDefault="00BA2F9E">
            <w:pPr>
              <w:pStyle w:val="TableText"/>
              <w:rPr>
                <w:color w:val="auto"/>
                <w:sz w:val="22"/>
                <w:szCs w:val="22"/>
              </w:rPr>
            </w:pPr>
            <w:r w:rsidRPr="00063B67">
              <w:rPr>
                <w:color w:val="auto"/>
                <w:sz w:val="22"/>
                <w:szCs w:val="22"/>
              </w:rPr>
              <w:t>AS 1692</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2E628753" w14:textId="77777777" w:rsidR="00BA2F9E" w:rsidRPr="00063B67" w:rsidRDefault="00BA2F9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063B67">
              <w:rPr>
                <w:rFonts w:asciiTheme="minorHAnsi" w:hAnsiTheme="minorHAnsi"/>
                <w:color w:val="auto"/>
              </w:rPr>
              <w:t>Steel tanks for flammable and combustible liquids</w:t>
            </w:r>
          </w:p>
        </w:tc>
      </w:tr>
      <w:tr w:rsidR="00BA2F9E" w14:paraId="424DE255"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161FC75F" w14:textId="77777777" w:rsidR="00BA2F9E" w:rsidRPr="00063B67" w:rsidRDefault="00BA2F9E">
            <w:pPr>
              <w:pStyle w:val="TableText"/>
              <w:rPr>
                <w:color w:val="auto"/>
                <w:sz w:val="22"/>
                <w:szCs w:val="22"/>
              </w:rPr>
            </w:pPr>
            <w:r w:rsidRPr="00063B67">
              <w:rPr>
                <w:color w:val="auto"/>
                <w:sz w:val="22"/>
                <w:szCs w:val="22"/>
              </w:rPr>
              <w:t>AS 1940</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5C304181" w14:textId="77777777" w:rsidR="00BA2F9E" w:rsidRPr="00063B67" w:rsidRDefault="00BA2F9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063B67">
              <w:rPr>
                <w:rFonts w:asciiTheme="minorHAnsi" w:hAnsiTheme="minorHAnsi"/>
                <w:color w:val="auto"/>
              </w:rPr>
              <w:t>The storage and handling of flammable and combustible liquids</w:t>
            </w:r>
          </w:p>
        </w:tc>
      </w:tr>
      <w:tr w:rsidR="00BA2F9E" w14:paraId="2239735A"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40F0A302" w14:textId="77777777" w:rsidR="00BA2F9E" w:rsidRPr="00063B67" w:rsidRDefault="00BA2F9E">
            <w:pPr>
              <w:pStyle w:val="TableText"/>
              <w:rPr>
                <w:color w:val="auto"/>
                <w:sz w:val="22"/>
                <w:szCs w:val="22"/>
              </w:rPr>
            </w:pPr>
            <w:r w:rsidRPr="00063B67">
              <w:rPr>
                <w:color w:val="auto"/>
                <w:sz w:val="22"/>
                <w:szCs w:val="22"/>
              </w:rPr>
              <w:t>AS/NZS 3000</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6AAA4C2E" w14:textId="77777777" w:rsidR="00BA2F9E" w:rsidRPr="00063B67" w:rsidRDefault="00BA2F9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063B67">
              <w:rPr>
                <w:rFonts w:asciiTheme="minorHAnsi" w:hAnsiTheme="minorHAnsi"/>
                <w:color w:val="auto"/>
              </w:rPr>
              <w:t>Electrical Installations (Wiring Rules)</w:t>
            </w:r>
          </w:p>
        </w:tc>
      </w:tr>
      <w:tr w:rsidR="00BA2F9E" w14:paraId="51ECDB78"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110B1A17" w14:textId="77777777" w:rsidR="00BA2F9E" w:rsidRPr="00063B67" w:rsidRDefault="00BA2F9E">
            <w:pPr>
              <w:pStyle w:val="TableText"/>
              <w:rPr>
                <w:color w:val="auto"/>
                <w:sz w:val="22"/>
                <w:szCs w:val="22"/>
              </w:rPr>
            </w:pPr>
            <w:r w:rsidRPr="00063B67">
              <w:rPr>
                <w:color w:val="auto"/>
                <w:sz w:val="22"/>
                <w:szCs w:val="22"/>
              </w:rPr>
              <w:lastRenderedPageBreak/>
              <w:t>AS/NZS 3008.1.1</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71F4A863" w14:textId="77777777" w:rsidR="00BA2F9E" w:rsidRPr="00063B67" w:rsidRDefault="00BA2F9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063B67">
              <w:rPr>
                <w:rFonts w:asciiTheme="minorHAnsi" w:hAnsiTheme="minorHAnsi"/>
                <w:color w:val="auto"/>
              </w:rPr>
              <w:t>Electrical installations - Selection of cables - Cables for alternating voltages up to and including 0.6/1 kV - Typical Australian installation conditions</w:t>
            </w:r>
          </w:p>
        </w:tc>
      </w:tr>
      <w:tr w:rsidR="00BA2F9E" w14:paraId="165B4D09"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06AC6E07" w14:textId="77777777" w:rsidR="00BA2F9E" w:rsidRPr="00063B67" w:rsidRDefault="00BA2F9E">
            <w:pPr>
              <w:pStyle w:val="TableText"/>
              <w:rPr>
                <w:color w:val="auto"/>
                <w:sz w:val="22"/>
                <w:szCs w:val="22"/>
              </w:rPr>
            </w:pPr>
            <w:r w:rsidRPr="00063B67">
              <w:rPr>
                <w:color w:val="auto"/>
                <w:sz w:val="22"/>
                <w:szCs w:val="22"/>
              </w:rPr>
              <w:t>AS/NZS 3010</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2005B772" w14:textId="77777777" w:rsidR="00BA2F9E" w:rsidRPr="00063B67" w:rsidRDefault="00BA2F9E">
            <w:pPr>
              <w:pStyle w:val="TableText"/>
              <w:cnfStyle w:val="000000000000" w:firstRow="0" w:lastRow="0" w:firstColumn="0" w:lastColumn="0" w:oddVBand="0" w:evenVBand="0" w:oddHBand="0" w:evenHBand="0" w:firstRowFirstColumn="0" w:firstRowLastColumn="0" w:lastRowFirstColumn="0" w:lastRowLastColumn="0"/>
              <w:rPr>
                <w:color w:val="auto"/>
                <w:sz w:val="22"/>
                <w:szCs w:val="22"/>
              </w:rPr>
            </w:pPr>
            <w:r w:rsidRPr="00063B67">
              <w:rPr>
                <w:color w:val="auto"/>
                <w:sz w:val="22"/>
                <w:szCs w:val="22"/>
              </w:rPr>
              <w:t>Electrical Installations – Generating Sets</w:t>
            </w:r>
          </w:p>
        </w:tc>
      </w:tr>
      <w:tr w:rsidR="00BA2F9E" w14:paraId="4A49E7CA"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47A703B9" w14:textId="77777777" w:rsidR="00BA2F9E" w:rsidRPr="00063B67" w:rsidRDefault="00BA2F9E">
            <w:pPr>
              <w:pStyle w:val="TableText"/>
              <w:rPr>
                <w:color w:val="auto"/>
                <w:sz w:val="22"/>
                <w:szCs w:val="22"/>
              </w:rPr>
            </w:pPr>
            <w:r w:rsidRPr="00063B67">
              <w:rPr>
                <w:color w:val="auto"/>
                <w:sz w:val="22"/>
                <w:szCs w:val="22"/>
              </w:rPr>
              <w:t>AS4594</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6D46A58C" w14:textId="77777777" w:rsidR="00BA2F9E" w:rsidRPr="00063B67" w:rsidRDefault="00BA2F9E">
            <w:pPr>
              <w:pStyle w:val="TableText"/>
              <w:cnfStyle w:val="000000000000" w:firstRow="0" w:lastRow="0" w:firstColumn="0" w:lastColumn="0" w:oddVBand="0" w:evenVBand="0" w:oddHBand="0" w:evenHBand="0" w:firstRowFirstColumn="0" w:firstRowLastColumn="0" w:lastRowFirstColumn="0" w:lastRowLastColumn="0"/>
              <w:rPr>
                <w:color w:val="auto"/>
                <w:sz w:val="22"/>
                <w:szCs w:val="22"/>
              </w:rPr>
            </w:pPr>
            <w:r w:rsidRPr="00063B67">
              <w:rPr>
                <w:color w:val="auto"/>
                <w:sz w:val="22"/>
                <w:szCs w:val="22"/>
              </w:rPr>
              <w:t>Internal Combustion Engines</w:t>
            </w:r>
          </w:p>
        </w:tc>
      </w:tr>
      <w:tr w:rsidR="00BA2F9E" w14:paraId="7BCA5022"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104E1B02" w14:textId="77777777" w:rsidR="00BA2F9E" w:rsidRPr="00063B67" w:rsidRDefault="00BA2F9E">
            <w:pPr>
              <w:rPr>
                <w:rFonts w:asciiTheme="minorHAnsi" w:hAnsiTheme="minorHAnsi"/>
                <w:color w:val="auto"/>
              </w:rPr>
            </w:pPr>
            <w:r w:rsidRPr="00063B67">
              <w:rPr>
                <w:rFonts w:asciiTheme="minorHAnsi" w:hAnsiTheme="minorHAnsi"/>
                <w:color w:val="auto"/>
              </w:rPr>
              <w:t>AS/NZS 61439</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1F6EE16A" w14:textId="77777777" w:rsidR="00BA2F9E" w:rsidRPr="00063B67" w:rsidRDefault="00BA2F9E">
            <w:pPr>
              <w:pStyle w:val="ListBulle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63B67">
              <w:rPr>
                <w:rFonts w:cstheme="minorHAnsi"/>
                <w:color w:val="auto"/>
                <w:sz w:val="22"/>
                <w:szCs w:val="22"/>
              </w:rPr>
              <w:t>Low-voltage Switchgear and Control Gear Assemblies</w:t>
            </w:r>
          </w:p>
        </w:tc>
      </w:tr>
      <w:tr w:rsidR="00BA2F9E" w14:paraId="0A55D2D2"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1B712423" w14:textId="77777777" w:rsidR="00BA2F9E" w:rsidRPr="00063B67" w:rsidRDefault="00BA2F9E">
            <w:pPr>
              <w:rPr>
                <w:rFonts w:asciiTheme="minorHAnsi" w:hAnsiTheme="minorHAnsi"/>
                <w:color w:val="auto"/>
              </w:rPr>
            </w:pPr>
            <w:r w:rsidRPr="00063B67">
              <w:rPr>
                <w:rFonts w:asciiTheme="minorHAnsi" w:hAnsiTheme="minorHAnsi"/>
                <w:color w:val="auto"/>
              </w:rPr>
              <w:t>AS 3570</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5E8408E3" w14:textId="77777777" w:rsidR="00BA2F9E" w:rsidRPr="00063B67" w:rsidRDefault="00BA2F9E">
            <w:pPr>
              <w:pStyle w:val="ListBulle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63B67">
              <w:rPr>
                <w:rFonts w:cstheme="minorHAnsi"/>
                <w:color w:val="auto"/>
                <w:sz w:val="22"/>
                <w:szCs w:val="22"/>
              </w:rPr>
              <w:t>Automotive Diesel Fuel</w:t>
            </w:r>
          </w:p>
        </w:tc>
      </w:tr>
      <w:tr w:rsidR="00BA2F9E" w14:paraId="4DD95CFC"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19857A6A" w14:textId="77777777" w:rsidR="00BA2F9E" w:rsidRPr="00063B67" w:rsidRDefault="00BA2F9E">
            <w:pPr>
              <w:rPr>
                <w:rFonts w:asciiTheme="minorHAnsi" w:hAnsiTheme="minorHAnsi"/>
                <w:color w:val="auto"/>
              </w:rPr>
            </w:pPr>
            <w:r w:rsidRPr="00063B67">
              <w:rPr>
                <w:rFonts w:asciiTheme="minorHAnsi" w:hAnsiTheme="minorHAnsi"/>
                <w:color w:val="auto"/>
              </w:rPr>
              <w:t>AS/NZS 5000.1</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30B5E9DC" w14:textId="77777777" w:rsidR="00BA2F9E" w:rsidRPr="00063B67" w:rsidRDefault="00BA2F9E">
            <w:pPr>
              <w:pStyle w:val="ListBulle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63B67">
              <w:rPr>
                <w:rFonts w:cstheme="minorHAnsi"/>
                <w:color w:val="auto"/>
                <w:sz w:val="22"/>
                <w:szCs w:val="22"/>
              </w:rPr>
              <w:t>Electric Cables - Polymeric Insulated – For Working Voltages up to and Including 0.6/1 kV</w:t>
            </w:r>
          </w:p>
        </w:tc>
      </w:tr>
      <w:tr w:rsidR="00BA2F9E" w14:paraId="58621FA8"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single" w:sz="4" w:space="0" w:color="FFFFFF" w:themeColor="background1"/>
              <w:right w:val="single" w:sz="4" w:space="0" w:color="FFFFFF" w:themeColor="background1"/>
            </w:tcBorders>
            <w:hideMark/>
          </w:tcPr>
          <w:p w14:paraId="26D11500" w14:textId="77777777" w:rsidR="00BA2F9E" w:rsidRPr="00063B67" w:rsidRDefault="00BA2F9E">
            <w:pPr>
              <w:rPr>
                <w:rFonts w:asciiTheme="minorHAnsi" w:hAnsiTheme="minorHAnsi"/>
                <w:color w:val="auto"/>
              </w:rPr>
            </w:pPr>
            <w:r w:rsidRPr="00063B67">
              <w:rPr>
                <w:rFonts w:asciiTheme="minorHAnsi" w:hAnsiTheme="minorHAnsi"/>
                <w:color w:val="auto"/>
              </w:rPr>
              <w:t>AS 60038</w:t>
            </w:r>
          </w:p>
        </w:tc>
        <w:tc>
          <w:tcPr>
            <w:tcW w:w="4536" w:type="dxa"/>
            <w:tcBorders>
              <w:top w:val="single" w:sz="4" w:space="0" w:color="FFFFFF" w:themeColor="background1"/>
              <w:left w:val="single" w:sz="4" w:space="0" w:color="FFFFFF" w:themeColor="background1"/>
              <w:bottom w:val="single" w:sz="4" w:space="0" w:color="FFFFFF" w:themeColor="background1"/>
              <w:right w:val="nil"/>
            </w:tcBorders>
            <w:hideMark/>
          </w:tcPr>
          <w:p w14:paraId="3E1F7897" w14:textId="77777777" w:rsidR="00BA2F9E" w:rsidRPr="00063B67" w:rsidRDefault="00BA2F9E">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63B67">
              <w:rPr>
                <w:rFonts w:cstheme="minorHAnsi"/>
                <w:color w:val="auto"/>
                <w:sz w:val="22"/>
                <w:szCs w:val="22"/>
              </w:rPr>
              <w:t>Standard Voltages</w:t>
            </w:r>
          </w:p>
        </w:tc>
      </w:tr>
      <w:tr w:rsidR="00BA2F9E" w14:paraId="29FADC28" w14:textId="77777777" w:rsidTr="00BA2F9E">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FFFFFF" w:themeColor="background1"/>
              <w:left w:val="nil"/>
              <w:bottom w:val="nil"/>
              <w:right w:val="single" w:sz="4" w:space="0" w:color="FFFFFF" w:themeColor="background1"/>
            </w:tcBorders>
            <w:hideMark/>
          </w:tcPr>
          <w:p w14:paraId="476551F6" w14:textId="77777777" w:rsidR="00BA2F9E" w:rsidRPr="00063B67" w:rsidRDefault="00BA2F9E">
            <w:pPr>
              <w:rPr>
                <w:rFonts w:asciiTheme="minorHAnsi" w:hAnsiTheme="minorHAnsi"/>
                <w:color w:val="auto"/>
              </w:rPr>
            </w:pPr>
            <w:r w:rsidRPr="00063B67">
              <w:rPr>
                <w:rFonts w:asciiTheme="minorHAnsi" w:hAnsiTheme="minorHAnsi"/>
                <w:color w:val="auto"/>
              </w:rPr>
              <w:t>AS 60529</w:t>
            </w:r>
          </w:p>
        </w:tc>
        <w:tc>
          <w:tcPr>
            <w:tcW w:w="4536" w:type="dxa"/>
            <w:tcBorders>
              <w:top w:val="single" w:sz="4" w:space="0" w:color="FFFFFF" w:themeColor="background1"/>
              <w:left w:val="single" w:sz="4" w:space="0" w:color="FFFFFF" w:themeColor="background1"/>
              <w:bottom w:val="nil"/>
              <w:right w:val="nil"/>
            </w:tcBorders>
            <w:hideMark/>
          </w:tcPr>
          <w:p w14:paraId="150633B8" w14:textId="77777777" w:rsidR="00BA2F9E" w:rsidRPr="00063B67" w:rsidRDefault="00BA2F9E">
            <w:pPr>
              <w:pStyle w:val="ListBulle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63B67">
              <w:rPr>
                <w:rFonts w:cstheme="minorHAnsi"/>
                <w:color w:val="auto"/>
                <w:sz w:val="22"/>
                <w:szCs w:val="22"/>
              </w:rPr>
              <w:t>Degrees of Protection Provided by Enclosures (IP Code)</w:t>
            </w:r>
          </w:p>
        </w:tc>
      </w:tr>
    </w:tbl>
    <w:p w14:paraId="17DCBADB" w14:textId="3D97E247" w:rsidR="00BA2F9E" w:rsidRDefault="00BA2F9E" w:rsidP="00BA2F9E">
      <w:pPr>
        <w:spacing w:before="120" w:after="120" w:line="240" w:lineRule="auto"/>
        <w:rPr>
          <w:rFonts w:asciiTheme="minorHAnsi" w:hAnsiTheme="minorHAnsi" w:cstheme="minorHAnsi"/>
          <w:color w:val="32425E"/>
          <w:sz w:val="18"/>
          <w:szCs w:val="20"/>
        </w:rPr>
      </w:pPr>
      <w:bookmarkStart w:id="13" w:name="_Toc72154053"/>
      <w:bookmarkEnd w:id="12"/>
      <w:r>
        <w:t xml:space="preserve">Where equipment proposed by the Vendor, is certified to a standard other than an Australian Standard and its compliance with Australian standards is in doubt, the Vendor shall obtain written approval from the </w:t>
      </w:r>
      <w:proofErr w:type="gramStart"/>
      <w:r>
        <w:t>Principal</w:t>
      </w:r>
      <w:proofErr w:type="gramEnd"/>
      <w:r>
        <w:t xml:space="preserve"> before including that equipment in the design.</w:t>
      </w:r>
    </w:p>
    <w:p w14:paraId="09F9329D" w14:textId="4C1C87CD" w:rsidR="00BA2F9E" w:rsidRPr="009717C3" w:rsidRDefault="00BA2F9E" w:rsidP="00BA2F9E">
      <w:pPr>
        <w:spacing w:line="240" w:lineRule="auto"/>
        <w:rPr>
          <w:sz w:val="26"/>
          <w:szCs w:val="26"/>
        </w:rPr>
      </w:pPr>
      <w:bookmarkStart w:id="14" w:name="_Toc86395174"/>
      <w:r w:rsidRPr="009717C3">
        <w:rPr>
          <w:sz w:val="26"/>
          <w:szCs w:val="26"/>
        </w:rPr>
        <w:t>2.3</w:t>
      </w:r>
      <w:r w:rsidRPr="009717C3">
        <w:rPr>
          <w:sz w:val="26"/>
          <w:szCs w:val="26"/>
        </w:rPr>
        <w:tab/>
        <w:t>Standard Specifications</w:t>
      </w:r>
      <w:bookmarkEnd w:id="13"/>
      <w:bookmarkEnd w:id="14"/>
    </w:p>
    <w:p w14:paraId="3817565A" w14:textId="77777777" w:rsidR="00BA2F9E" w:rsidRDefault="00BA2F9E" w:rsidP="00BA2F9E">
      <w:pPr>
        <w:spacing w:line="240" w:lineRule="auto"/>
        <w:rPr>
          <w:rFonts w:cs="Calibri"/>
          <w:szCs w:val="18"/>
        </w:rPr>
      </w:pPr>
      <w:r>
        <w:rPr>
          <w:rFonts w:cs="Calibri"/>
          <w:szCs w:val="18"/>
        </w:rPr>
        <w:t xml:space="preserve">Design, </w:t>
      </w:r>
      <w:r w:rsidRPr="00BA2F9E">
        <w:t>materials</w:t>
      </w:r>
      <w:r>
        <w:rPr>
          <w:rFonts w:cs="Calibri"/>
          <w:szCs w:val="18"/>
        </w:rPr>
        <w:t xml:space="preserve"> and workmanship shall be in conformity with the requirements of the Standards listed, where applicable. If no Standard or other requirements are specified, it shall be assumed that the requirements of the most recent appropriate Australian Standard or in the absence of any such Australian Standard, the appropriate International Standard shall apply as if forming part of the Specification. If the specified requirements conflict with the Standard requirements, the specified requirements shall apply.</w:t>
      </w:r>
    </w:p>
    <w:p w14:paraId="72587FB4" w14:textId="77777777" w:rsidR="00BA2F9E" w:rsidRDefault="00BA2F9E" w:rsidP="00BA2F9E">
      <w:pPr>
        <w:spacing w:before="120" w:after="120" w:line="240" w:lineRule="auto"/>
        <w:rPr>
          <w:rFonts w:cs="Calibri"/>
          <w:szCs w:val="18"/>
        </w:rPr>
      </w:pPr>
      <w:r>
        <w:rPr>
          <w:rFonts w:cs="Calibri"/>
          <w:szCs w:val="18"/>
        </w:rPr>
        <w:t>“Standard" shall mean and include a Standard Specification, Standard Code of Practice or other Standard current one month prior to the tender date, issued by a recognised association or body set up for the purpose.</w:t>
      </w:r>
    </w:p>
    <w:p w14:paraId="48280165" w14:textId="77777777" w:rsidR="00BA2F9E" w:rsidRDefault="00BA2F9E" w:rsidP="00BA2F9E">
      <w:pPr>
        <w:spacing w:before="120" w:after="120" w:line="240" w:lineRule="auto"/>
        <w:rPr>
          <w:rFonts w:cs="Calibri"/>
          <w:szCs w:val="18"/>
        </w:rPr>
      </w:pPr>
      <w:r>
        <w:rPr>
          <w:rFonts w:cs="Calibri"/>
          <w:szCs w:val="18"/>
        </w:rPr>
        <w:t>Items not covered by Standards or Regulations shall be the best of their respective kinds and in accordance with the best trade practices.</w:t>
      </w:r>
    </w:p>
    <w:p w14:paraId="5C142BC3" w14:textId="77777777" w:rsidR="000B7E6D" w:rsidRDefault="000B7E6D" w:rsidP="00BA2F9E">
      <w:pPr>
        <w:spacing w:before="120" w:after="120" w:line="240" w:lineRule="auto"/>
        <w:rPr>
          <w:rFonts w:cs="Calibri"/>
          <w:szCs w:val="18"/>
        </w:rPr>
      </w:pPr>
    </w:p>
    <w:p w14:paraId="7CC45C70" w14:textId="77777777" w:rsidR="000B7E6D" w:rsidRDefault="000B7E6D" w:rsidP="00BA2F9E">
      <w:pPr>
        <w:spacing w:before="120" w:after="120" w:line="240" w:lineRule="auto"/>
        <w:rPr>
          <w:rFonts w:cs="Calibri"/>
          <w:szCs w:val="18"/>
        </w:rPr>
      </w:pPr>
    </w:p>
    <w:p w14:paraId="72F11EC3" w14:textId="77777777" w:rsidR="000B7E6D" w:rsidRDefault="000B7E6D" w:rsidP="00BA2F9E">
      <w:pPr>
        <w:spacing w:before="120" w:after="120" w:line="240" w:lineRule="auto"/>
        <w:rPr>
          <w:rFonts w:cs="Calibri"/>
          <w:szCs w:val="18"/>
        </w:rPr>
      </w:pPr>
    </w:p>
    <w:p w14:paraId="606630C8" w14:textId="77777777" w:rsidR="000B7E6D" w:rsidRDefault="000B7E6D" w:rsidP="00BA2F9E">
      <w:pPr>
        <w:spacing w:before="120" w:after="120" w:line="240" w:lineRule="auto"/>
        <w:rPr>
          <w:rFonts w:cs="Calibri"/>
          <w:szCs w:val="18"/>
        </w:rPr>
      </w:pPr>
    </w:p>
    <w:p w14:paraId="4893DC24" w14:textId="77777777" w:rsidR="000B7E6D" w:rsidRDefault="000B7E6D" w:rsidP="00BA2F9E">
      <w:pPr>
        <w:spacing w:before="120" w:after="120" w:line="240" w:lineRule="auto"/>
        <w:rPr>
          <w:rFonts w:cs="Calibri"/>
          <w:szCs w:val="18"/>
        </w:rPr>
      </w:pPr>
    </w:p>
    <w:p w14:paraId="716E152F" w14:textId="77777777" w:rsidR="000B7E6D" w:rsidRDefault="000B7E6D" w:rsidP="00BA2F9E">
      <w:pPr>
        <w:spacing w:before="120" w:after="120" w:line="240" w:lineRule="auto"/>
        <w:rPr>
          <w:rFonts w:cs="Calibri"/>
          <w:szCs w:val="18"/>
        </w:rPr>
      </w:pPr>
    </w:p>
    <w:p w14:paraId="69FF7C67" w14:textId="77777777" w:rsidR="000B7E6D" w:rsidRDefault="000B7E6D" w:rsidP="00BA2F9E">
      <w:pPr>
        <w:spacing w:before="120" w:after="120" w:line="240" w:lineRule="auto"/>
        <w:rPr>
          <w:rFonts w:cs="Calibri"/>
          <w:szCs w:val="18"/>
        </w:rPr>
      </w:pPr>
    </w:p>
    <w:p w14:paraId="138726AF" w14:textId="77777777" w:rsidR="009717C3" w:rsidRDefault="009717C3" w:rsidP="00BA2F9E">
      <w:pPr>
        <w:spacing w:before="120" w:after="120" w:line="240" w:lineRule="auto"/>
        <w:rPr>
          <w:rFonts w:cs="Calibri"/>
          <w:szCs w:val="18"/>
        </w:rPr>
      </w:pPr>
    </w:p>
    <w:p w14:paraId="3BF11E98" w14:textId="4AD659D6" w:rsidR="000B7E6D" w:rsidRPr="009717C3" w:rsidRDefault="000B7E6D" w:rsidP="009717C3">
      <w:pPr>
        <w:pStyle w:val="ListParagraph"/>
        <w:numPr>
          <w:ilvl w:val="0"/>
          <w:numId w:val="40"/>
        </w:numPr>
        <w:rPr>
          <w:rFonts w:ascii="Inter Bold" w:hAnsi="Inter Bold"/>
          <w:noProof/>
          <w:sz w:val="36"/>
          <w:szCs w:val="36"/>
        </w:rPr>
      </w:pPr>
      <w:bookmarkStart w:id="15" w:name="_Toc86395211"/>
      <w:r w:rsidRPr="009717C3">
        <w:rPr>
          <w:rFonts w:ascii="Inter Bold" w:hAnsi="Inter Bold"/>
          <w:noProof/>
          <w:sz w:val="36"/>
          <w:szCs w:val="36"/>
        </w:rPr>
        <w:lastRenderedPageBreak/>
        <w:t>Load Bank</w:t>
      </w:r>
      <w:bookmarkEnd w:id="15"/>
    </w:p>
    <w:p w14:paraId="2C2F7992" w14:textId="77777777" w:rsidR="000B7E6D" w:rsidRDefault="000B7E6D" w:rsidP="000B7E6D">
      <w:pPr>
        <w:spacing w:before="120" w:after="120" w:line="240" w:lineRule="auto"/>
        <w:rPr>
          <w:rFonts w:cs="Calibri"/>
          <w:szCs w:val="18"/>
        </w:rPr>
      </w:pPr>
      <w:r>
        <w:rPr>
          <w:rFonts w:cs="Calibri"/>
          <w:szCs w:val="18"/>
        </w:rPr>
        <w:t>The generator shall be supplied with a load bank suitable to meet the operating conditions of the site and to sustain the load on the generator at a level to prevent engine cylinder glazing and exhaust ‘wet stacking’.</w:t>
      </w:r>
    </w:p>
    <w:p w14:paraId="3457B367" w14:textId="6A430F68" w:rsidR="000B7E6D" w:rsidRPr="009717C3" w:rsidRDefault="009717C3" w:rsidP="009717C3">
      <w:pPr>
        <w:spacing w:line="240" w:lineRule="auto"/>
        <w:rPr>
          <w:sz w:val="26"/>
          <w:szCs w:val="26"/>
        </w:rPr>
      </w:pPr>
      <w:bookmarkStart w:id="16" w:name="_Toc86395212"/>
      <w:r>
        <w:rPr>
          <w:sz w:val="26"/>
          <w:szCs w:val="26"/>
        </w:rPr>
        <w:t>2.1</w:t>
      </w:r>
      <w:r>
        <w:rPr>
          <w:sz w:val="26"/>
          <w:szCs w:val="26"/>
        </w:rPr>
        <w:tab/>
      </w:r>
      <w:r w:rsidR="000B7E6D" w:rsidRPr="009717C3">
        <w:rPr>
          <w:sz w:val="26"/>
          <w:szCs w:val="26"/>
        </w:rPr>
        <w:t>Construction</w:t>
      </w:r>
      <w:bookmarkEnd w:id="16"/>
    </w:p>
    <w:p w14:paraId="238A3655" w14:textId="77777777" w:rsidR="000B7E6D" w:rsidRDefault="000B7E6D" w:rsidP="000B7E6D">
      <w:pPr>
        <w:spacing w:after="0" w:line="240" w:lineRule="auto"/>
        <w:rPr>
          <w:rFonts w:cs="Calibri"/>
          <w:szCs w:val="18"/>
        </w:rPr>
      </w:pPr>
      <w:r>
        <w:rPr>
          <w:rFonts w:cs="Calibri"/>
          <w:szCs w:val="18"/>
        </w:rPr>
        <w:t>The load bank enclosure shall be of a weatherproof construction and shall be constructed from materials suitable for the environmental conditions.</w:t>
      </w:r>
    </w:p>
    <w:p w14:paraId="27149A70" w14:textId="77777777" w:rsidR="009717C3" w:rsidRDefault="009717C3" w:rsidP="000B7E6D">
      <w:pPr>
        <w:spacing w:after="0" w:line="240" w:lineRule="auto"/>
        <w:rPr>
          <w:rFonts w:cs="Calibri"/>
          <w:szCs w:val="18"/>
        </w:rPr>
      </w:pPr>
    </w:p>
    <w:p w14:paraId="08533266" w14:textId="7255846D" w:rsidR="000B7E6D" w:rsidRPr="009717C3" w:rsidRDefault="009717C3" w:rsidP="009717C3">
      <w:pPr>
        <w:spacing w:line="240" w:lineRule="auto"/>
        <w:rPr>
          <w:sz w:val="26"/>
          <w:szCs w:val="26"/>
        </w:rPr>
      </w:pPr>
      <w:bookmarkStart w:id="17" w:name="_Toc86395213"/>
      <w:r>
        <w:rPr>
          <w:sz w:val="26"/>
          <w:szCs w:val="26"/>
        </w:rPr>
        <w:t>2.2</w:t>
      </w:r>
      <w:r>
        <w:rPr>
          <w:sz w:val="26"/>
          <w:szCs w:val="26"/>
        </w:rPr>
        <w:tab/>
      </w:r>
      <w:r w:rsidR="000B7E6D" w:rsidRPr="009717C3">
        <w:rPr>
          <w:sz w:val="26"/>
          <w:szCs w:val="26"/>
        </w:rPr>
        <w:t>Sizing and Step Requirements</w:t>
      </w:r>
      <w:bookmarkEnd w:id="17"/>
    </w:p>
    <w:p w14:paraId="7AC12C85" w14:textId="77777777" w:rsidR="000B7E6D" w:rsidRDefault="000B7E6D" w:rsidP="000B7E6D">
      <w:pPr>
        <w:spacing w:line="240" w:lineRule="auto"/>
      </w:pPr>
      <w:r>
        <w:t>The load bank shall be sized to meet the sustain the generator load at a minimum of 60% under ‘no demand load’ conditions from the pump station.</w:t>
      </w:r>
    </w:p>
    <w:p w14:paraId="5FD5F6BB" w14:textId="6A2E18F6" w:rsidR="000B7E6D" w:rsidRDefault="000B7E6D" w:rsidP="000B7E6D">
      <w:pPr>
        <w:spacing w:line="240" w:lineRule="auto"/>
      </w:pPr>
      <w:r>
        <w:t>The load bank shall be capable of</w:t>
      </w:r>
      <w:r w:rsidR="009717C3">
        <w:t xml:space="preserve"> auto</w:t>
      </w:r>
      <w:r>
        <w:t xml:space="preserve"> switching in and out ‘step’ loads to maintain the loading on the generator when the jacking pumps are started and stopped.</w:t>
      </w:r>
    </w:p>
    <w:p w14:paraId="2E674D0F" w14:textId="72CEDEFB" w:rsidR="000B7E6D" w:rsidRPr="009717C3" w:rsidRDefault="009717C3" w:rsidP="009717C3">
      <w:pPr>
        <w:spacing w:line="240" w:lineRule="auto"/>
        <w:rPr>
          <w:sz w:val="26"/>
          <w:szCs w:val="26"/>
        </w:rPr>
      </w:pPr>
      <w:bookmarkStart w:id="18" w:name="_Toc86395214"/>
      <w:r>
        <w:rPr>
          <w:sz w:val="26"/>
          <w:szCs w:val="26"/>
        </w:rPr>
        <w:t>2.3</w:t>
      </w:r>
      <w:r>
        <w:rPr>
          <w:sz w:val="26"/>
          <w:szCs w:val="26"/>
        </w:rPr>
        <w:tab/>
      </w:r>
      <w:r w:rsidR="000B7E6D" w:rsidRPr="009717C3">
        <w:rPr>
          <w:sz w:val="26"/>
          <w:szCs w:val="26"/>
        </w:rPr>
        <w:t>Cooling</w:t>
      </w:r>
      <w:bookmarkEnd w:id="18"/>
    </w:p>
    <w:p w14:paraId="4C040C38" w14:textId="77777777" w:rsidR="000B7E6D" w:rsidRDefault="000B7E6D" w:rsidP="000B7E6D">
      <w:pPr>
        <w:spacing w:line="240" w:lineRule="auto"/>
      </w:pPr>
      <w:r>
        <w:t xml:space="preserve">The load bank shall be equipped with a forced </w:t>
      </w:r>
      <w:proofErr w:type="gramStart"/>
      <w:r>
        <w:t>air cooling</w:t>
      </w:r>
      <w:proofErr w:type="gramEnd"/>
      <w:r>
        <w:t xml:space="preserve"> system sufficient to keep the equipment at safe operating temperatures under full load and the maximum local environmental conditions. </w:t>
      </w:r>
    </w:p>
    <w:p w14:paraId="52559D07" w14:textId="1B11D9D2" w:rsidR="000B7E6D" w:rsidRPr="009717C3" w:rsidRDefault="009717C3" w:rsidP="009717C3">
      <w:pPr>
        <w:spacing w:line="240" w:lineRule="auto"/>
        <w:rPr>
          <w:sz w:val="26"/>
          <w:szCs w:val="26"/>
        </w:rPr>
      </w:pPr>
      <w:bookmarkStart w:id="19" w:name="_Toc86395215"/>
      <w:r>
        <w:rPr>
          <w:sz w:val="26"/>
          <w:szCs w:val="26"/>
        </w:rPr>
        <w:t>2.4</w:t>
      </w:r>
      <w:r>
        <w:rPr>
          <w:sz w:val="26"/>
          <w:szCs w:val="26"/>
        </w:rPr>
        <w:tab/>
      </w:r>
      <w:r w:rsidR="000B7E6D" w:rsidRPr="009717C3">
        <w:rPr>
          <w:sz w:val="26"/>
          <w:szCs w:val="26"/>
        </w:rPr>
        <w:t>Anti-condensation Heater</w:t>
      </w:r>
      <w:bookmarkEnd w:id="19"/>
    </w:p>
    <w:p w14:paraId="5DF58F31" w14:textId="5E7AD2CF" w:rsidR="009717C3" w:rsidRPr="009717C3" w:rsidRDefault="000B7E6D" w:rsidP="009717C3">
      <w:pPr>
        <w:spacing w:line="240" w:lineRule="auto"/>
      </w:pPr>
      <w:r>
        <w:rPr>
          <w:rFonts w:cs="Calibri"/>
          <w:szCs w:val="18"/>
        </w:rPr>
        <w:t xml:space="preserve">A 230V 50 Hz anti-condensation heater shall be installed in the load bank to prevent build-up of condensation and moisture. The heater shall operate continuously when the load bank is not </w:t>
      </w:r>
      <w:r w:rsidRPr="009717C3">
        <w:t>running but shall be automatically switched off when the generator set starts, and load bank operation is required.</w:t>
      </w:r>
      <w:bookmarkStart w:id="20" w:name="_Toc86395216"/>
    </w:p>
    <w:p w14:paraId="006406A0" w14:textId="0CEEB0E7" w:rsidR="000B7E6D" w:rsidRPr="009717C3" w:rsidRDefault="009717C3" w:rsidP="009717C3">
      <w:pPr>
        <w:spacing w:line="240" w:lineRule="auto"/>
        <w:rPr>
          <w:sz w:val="26"/>
          <w:szCs w:val="26"/>
        </w:rPr>
      </w:pPr>
      <w:r w:rsidRPr="009717C3">
        <w:rPr>
          <w:sz w:val="26"/>
          <w:szCs w:val="26"/>
        </w:rPr>
        <w:t>2.5</w:t>
      </w:r>
      <w:r>
        <w:rPr>
          <w:sz w:val="26"/>
          <w:szCs w:val="26"/>
        </w:rPr>
        <w:tab/>
      </w:r>
      <w:r w:rsidR="000B7E6D" w:rsidRPr="009717C3">
        <w:rPr>
          <w:sz w:val="26"/>
          <w:szCs w:val="26"/>
        </w:rPr>
        <w:t>Electrical and Control System</w:t>
      </w:r>
      <w:bookmarkEnd w:id="20"/>
    </w:p>
    <w:p w14:paraId="185EDE3A" w14:textId="77777777" w:rsidR="000B7E6D" w:rsidRDefault="000B7E6D" w:rsidP="000B7E6D">
      <w:pPr>
        <w:spacing w:before="120" w:after="120" w:line="240" w:lineRule="auto"/>
        <w:rPr>
          <w:rFonts w:cs="Calibri"/>
          <w:szCs w:val="18"/>
        </w:rPr>
      </w:pPr>
      <w:r>
        <w:rPr>
          <w:rFonts w:cs="Calibri"/>
          <w:szCs w:val="18"/>
        </w:rPr>
        <w:t xml:space="preserve">The load bank unit shall be provided with a complete control, </w:t>
      </w:r>
      <w:proofErr w:type="gramStart"/>
      <w:r>
        <w:rPr>
          <w:rFonts w:cs="Calibri"/>
          <w:szCs w:val="18"/>
        </w:rPr>
        <w:t>instrumentation</w:t>
      </w:r>
      <w:proofErr w:type="gramEnd"/>
      <w:r>
        <w:rPr>
          <w:rFonts w:cs="Calibri"/>
          <w:szCs w:val="18"/>
        </w:rPr>
        <w:t xml:space="preserve"> and protection system necessary for the safe and reliable operation of the unit.</w:t>
      </w:r>
    </w:p>
    <w:p w14:paraId="0A801019" w14:textId="77777777" w:rsidR="000B7E6D" w:rsidRDefault="000B7E6D" w:rsidP="000B7E6D">
      <w:pPr>
        <w:spacing w:before="120" w:after="120" w:line="240" w:lineRule="auto"/>
        <w:rPr>
          <w:rFonts w:cs="Calibri"/>
          <w:szCs w:val="18"/>
        </w:rPr>
      </w:pPr>
      <w:r>
        <w:rPr>
          <w:rFonts w:cs="Calibri"/>
          <w:szCs w:val="18"/>
        </w:rPr>
        <w:t xml:space="preserve">The control system shall allow complete local operation of the unit and shall interface with external control equipment (Site SCADA system) via a communications link or hard wiring for the remote control and monitoring of the </w:t>
      </w:r>
      <w:proofErr w:type="gramStart"/>
      <w:r>
        <w:rPr>
          <w:rFonts w:cs="Calibri"/>
          <w:szCs w:val="18"/>
        </w:rPr>
        <w:t>units</w:t>
      </w:r>
      <w:proofErr w:type="gramEnd"/>
      <w:r>
        <w:rPr>
          <w:rFonts w:cs="Calibri"/>
          <w:szCs w:val="18"/>
        </w:rPr>
        <w:t xml:space="preserve"> operation parameters, alarm and trip conditions.</w:t>
      </w:r>
    </w:p>
    <w:p w14:paraId="6DF63353" w14:textId="120F2CC9" w:rsidR="000B7E6D" w:rsidRPr="009717C3" w:rsidRDefault="009717C3" w:rsidP="009717C3">
      <w:pPr>
        <w:pStyle w:val="Heading3"/>
        <w:spacing w:after="240" w:line="240" w:lineRule="auto"/>
        <w:rPr>
          <w:rFonts w:ascii="Calibri" w:eastAsia="Calibri" w:hAnsi="Calibri" w:cs="Times New Roman"/>
          <w:color w:val="auto"/>
          <w:sz w:val="26"/>
          <w:szCs w:val="26"/>
        </w:rPr>
      </w:pPr>
      <w:bookmarkStart w:id="21" w:name="_Toc86395217"/>
      <w:r>
        <w:rPr>
          <w:rFonts w:ascii="Calibri" w:eastAsia="Calibri" w:hAnsi="Calibri" w:cs="Times New Roman"/>
          <w:color w:val="auto"/>
          <w:sz w:val="26"/>
          <w:szCs w:val="26"/>
        </w:rPr>
        <w:t>2.6</w:t>
      </w:r>
      <w:r>
        <w:rPr>
          <w:rFonts w:ascii="Calibri" w:eastAsia="Calibri" w:hAnsi="Calibri" w:cs="Times New Roman"/>
          <w:color w:val="auto"/>
          <w:sz w:val="26"/>
          <w:szCs w:val="26"/>
        </w:rPr>
        <w:tab/>
      </w:r>
      <w:r w:rsidR="000B7E6D" w:rsidRPr="009717C3">
        <w:rPr>
          <w:rFonts w:ascii="Calibri" w:eastAsia="Calibri" w:hAnsi="Calibri" w:cs="Times New Roman"/>
          <w:color w:val="auto"/>
          <w:sz w:val="26"/>
          <w:szCs w:val="26"/>
        </w:rPr>
        <w:t>Load Bank Controls</w:t>
      </w:r>
      <w:bookmarkEnd w:id="21"/>
    </w:p>
    <w:p w14:paraId="191BFBE9" w14:textId="77777777" w:rsidR="000B7E6D" w:rsidRDefault="000B7E6D" w:rsidP="009717C3">
      <w:pPr>
        <w:spacing w:after="240" w:line="240" w:lineRule="auto"/>
      </w:pPr>
      <w:r>
        <w:t xml:space="preserve">The load bank shall have local controls to be able to start/stop and reset the load </w:t>
      </w:r>
      <w:proofErr w:type="gramStart"/>
      <w:r>
        <w:t>bank</w:t>
      </w:r>
      <w:proofErr w:type="gramEnd"/>
    </w:p>
    <w:p w14:paraId="619BCFF7" w14:textId="77777777" w:rsidR="000B7E6D" w:rsidRDefault="000B7E6D" w:rsidP="000B7E6D">
      <w:pPr>
        <w:spacing w:before="120" w:after="120" w:line="240" w:lineRule="auto"/>
        <w:rPr>
          <w:rFonts w:cs="Calibri"/>
          <w:szCs w:val="18"/>
        </w:rPr>
      </w:pPr>
      <w:r>
        <w:rPr>
          <w:rFonts w:cs="Calibri"/>
          <w:szCs w:val="18"/>
        </w:rPr>
        <w:t>At a minimum the following controls shall be provided on the load bank control panel:</w:t>
      </w:r>
    </w:p>
    <w:p w14:paraId="31862B05" w14:textId="77777777" w:rsidR="000B7E6D" w:rsidRDefault="000B7E6D" w:rsidP="000B7E6D">
      <w:pPr>
        <w:numPr>
          <w:ilvl w:val="0"/>
          <w:numId w:val="45"/>
        </w:numPr>
        <w:spacing w:after="0" w:line="240" w:lineRule="auto"/>
        <w:contextualSpacing/>
        <w:rPr>
          <w:rFonts w:cs="Calibri"/>
          <w:szCs w:val="18"/>
        </w:rPr>
      </w:pPr>
      <w:r>
        <w:rPr>
          <w:rFonts w:cs="Calibri"/>
          <w:szCs w:val="18"/>
        </w:rPr>
        <w:t>Start, stop, reset push buttons/</w:t>
      </w:r>
      <w:proofErr w:type="gramStart"/>
      <w:r>
        <w:rPr>
          <w:rFonts w:cs="Calibri"/>
          <w:szCs w:val="18"/>
        </w:rPr>
        <w:t>controls</w:t>
      </w:r>
      <w:proofErr w:type="gramEnd"/>
    </w:p>
    <w:p w14:paraId="032D3510" w14:textId="77777777" w:rsidR="000B7E6D" w:rsidRDefault="000B7E6D" w:rsidP="000B7E6D">
      <w:pPr>
        <w:numPr>
          <w:ilvl w:val="0"/>
          <w:numId w:val="45"/>
        </w:numPr>
        <w:spacing w:after="0" w:line="240" w:lineRule="auto"/>
        <w:contextualSpacing/>
        <w:rPr>
          <w:rFonts w:cs="Calibri"/>
          <w:szCs w:val="18"/>
        </w:rPr>
      </w:pPr>
      <w:r>
        <w:rPr>
          <w:rFonts w:cs="Calibri"/>
          <w:szCs w:val="18"/>
        </w:rPr>
        <w:t>Emergency stop mushroom headed pushbutton, suitably located and accessible externally without opening any enclosures/panels.</w:t>
      </w:r>
    </w:p>
    <w:p w14:paraId="78595CE8" w14:textId="77777777" w:rsidR="000B7E6D" w:rsidRDefault="000B7E6D" w:rsidP="000B7E6D">
      <w:pPr>
        <w:spacing w:after="0" w:line="240" w:lineRule="auto"/>
        <w:ind w:left="720"/>
        <w:contextualSpacing/>
        <w:rPr>
          <w:rFonts w:cs="Calibri"/>
          <w:szCs w:val="18"/>
        </w:rPr>
      </w:pPr>
    </w:p>
    <w:p w14:paraId="174E3609" w14:textId="77777777" w:rsidR="000B7E6D" w:rsidRDefault="000B7E6D" w:rsidP="000B7E6D">
      <w:pPr>
        <w:spacing w:after="0" w:line="240" w:lineRule="auto"/>
        <w:rPr>
          <w:rFonts w:cs="Calibri"/>
          <w:szCs w:val="18"/>
        </w:rPr>
      </w:pPr>
      <w:r>
        <w:rPr>
          <w:rFonts w:cs="Calibri"/>
          <w:szCs w:val="18"/>
        </w:rPr>
        <w:t>The control panel shall be mounted on the load bank enclosure. All controls shall be accessible from outside the enclosure.</w:t>
      </w:r>
    </w:p>
    <w:p w14:paraId="2E7BA427" w14:textId="77777777" w:rsidR="000B7E6D" w:rsidRDefault="000B7E6D" w:rsidP="000B7E6D">
      <w:pPr>
        <w:spacing w:after="0" w:line="240" w:lineRule="auto"/>
        <w:rPr>
          <w:rFonts w:cs="Calibri"/>
          <w:szCs w:val="18"/>
        </w:rPr>
      </w:pPr>
      <w:r>
        <w:rPr>
          <w:rFonts w:cs="Calibri"/>
          <w:szCs w:val="18"/>
        </w:rPr>
        <w:t>Terminal strips shall be provided for all wiring between all devices internal and external to the control panel.</w:t>
      </w:r>
    </w:p>
    <w:p w14:paraId="58553E70" w14:textId="4FD07700" w:rsidR="000B7E6D" w:rsidRDefault="000B7E6D" w:rsidP="009717C3">
      <w:pPr>
        <w:pStyle w:val="Heading3"/>
        <w:spacing w:after="240" w:line="240" w:lineRule="auto"/>
        <w:rPr>
          <w:rFonts w:cs="Times New Roman"/>
          <w:szCs w:val="26"/>
        </w:rPr>
      </w:pPr>
      <w:r>
        <w:rPr>
          <w:rFonts w:ascii="Inter Bold" w:hAnsi="Inter Bold"/>
          <w:bCs/>
          <w:iCs/>
          <w:color w:val="000000" w:themeColor="text1"/>
          <w:sz w:val="22"/>
          <w:szCs w:val="26"/>
        </w:rPr>
        <w:br w:type="page"/>
      </w:r>
      <w:bookmarkStart w:id="22" w:name="_Toc86395218"/>
      <w:r w:rsidR="009717C3">
        <w:rPr>
          <w:rFonts w:ascii="Inter Bold" w:hAnsi="Inter Bold"/>
          <w:bCs/>
          <w:iCs/>
          <w:color w:val="000000" w:themeColor="text1"/>
          <w:sz w:val="22"/>
          <w:szCs w:val="26"/>
        </w:rPr>
        <w:lastRenderedPageBreak/>
        <w:t>2.7</w:t>
      </w:r>
      <w:r w:rsidR="009717C3">
        <w:rPr>
          <w:rFonts w:ascii="Inter Bold" w:hAnsi="Inter Bold"/>
          <w:bCs/>
          <w:iCs/>
          <w:color w:val="000000" w:themeColor="text1"/>
          <w:sz w:val="22"/>
          <w:szCs w:val="26"/>
        </w:rPr>
        <w:tab/>
      </w:r>
      <w:r w:rsidRPr="009717C3">
        <w:rPr>
          <w:rFonts w:ascii="Calibri" w:eastAsia="Calibri" w:hAnsi="Calibri" w:cs="Times New Roman"/>
          <w:color w:val="auto"/>
          <w:sz w:val="26"/>
          <w:szCs w:val="26"/>
        </w:rPr>
        <w:t>Alarm and Trip Conditions</w:t>
      </w:r>
      <w:bookmarkEnd w:id="22"/>
    </w:p>
    <w:p w14:paraId="59493976" w14:textId="77777777" w:rsidR="000B7E6D" w:rsidRDefault="000B7E6D" w:rsidP="009717C3">
      <w:pPr>
        <w:spacing w:after="240" w:line="240" w:lineRule="auto"/>
        <w:rPr>
          <w:rFonts w:cs="Calibri"/>
          <w:szCs w:val="18"/>
        </w:rPr>
      </w:pPr>
      <w:r>
        <w:rPr>
          <w:rFonts w:cs="Calibri"/>
          <w:szCs w:val="18"/>
        </w:rPr>
        <w:t>All alarm and trip conditions shall be monitored by the load bank control system and shall be displayed at the control panel on a display or on discrete indicator lamps.</w:t>
      </w:r>
    </w:p>
    <w:p w14:paraId="692E377C" w14:textId="77777777" w:rsidR="000B7E6D" w:rsidRDefault="000B7E6D" w:rsidP="000B7E6D">
      <w:pPr>
        <w:spacing w:after="0" w:line="240" w:lineRule="auto"/>
        <w:rPr>
          <w:rFonts w:cs="Calibri"/>
          <w:szCs w:val="18"/>
        </w:rPr>
      </w:pPr>
      <w:r>
        <w:rPr>
          <w:rFonts w:cs="Calibri"/>
          <w:szCs w:val="18"/>
        </w:rPr>
        <w:t>The alarm and trip conditions shall include but not limited to the following:</w:t>
      </w:r>
    </w:p>
    <w:p w14:paraId="2D138529" w14:textId="77777777" w:rsidR="000B7E6D" w:rsidRDefault="000B7E6D" w:rsidP="000B7E6D">
      <w:pPr>
        <w:pStyle w:val="ListParagraph"/>
        <w:numPr>
          <w:ilvl w:val="0"/>
          <w:numId w:val="46"/>
        </w:numPr>
        <w:spacing w:after="0" w:line="240" w:lineRule="auto"/>
        <w:rPr>
          <w:rFonts w:cs="Calibri"/>
          <w:szCs w:val="18"/>
        </w:rPr>
      </w:pPr>
      <w:r>
        <w:rPr>
          <w:rFonts w:cs="Calibri"/>
          <w:szCs w:val="18"/>
        </w:rPr>
        <w:t xml:space="preserve">Load Bank </w:t>
      </w:r>
      <w:proofErr w:type="gramStart"/>
      <w:r>
        <w:rPr>
          <w:rFonts w:cs="Calibri"/>
          <w:szCs w:val="18"/>
        </w:rPr>
        <w:t>failure</w:t>
      </w:r>
      <w:proofErr w:type="gramEnd"/>
    </w:p>
    <w:p w14:paraId="60E84C0F" w14:textId="77777777" w:rsidR="000B7E6D" w:rsidRDefault="000B7E6D" w:rsidP="000B7E6D">
      <w:pPr>
        <w:pStyle w:val="ListParagraph"/>
        <w:numPr>
          <w:ilvl w:val="0"/>
          <w:numId w:val="46"/>
        </w:numPr>
        <w:spacing w:after="0" w:line="240" w:lineRule="auto"/>
        <w:rPr>
          <w:rFonts w:cs="Calibri"/>
          <w:szCs w:val="18"/>
        </w:rPr>
      </w:pPr>
      <w:r>
        <w:rPr>
          <w:rFonts w:cs="Calibri"/>
          <w:szCs w:val="18"/>
        </w:rPr>
        <w:t>Load Bank Over-</w:t>
      </w:r>
      <w:proofErr w:type="gramStart"/>
      <w:r>
        <w:rPr>
          <w:rFonts w:cs="Calibri"/>
          <w:szCs w:val="18"/>
        </w:rPr>
        <w:t>temperature</w:t>
      </w:r>
      <w:proofErr w:type="gramEnd"/>
    </w:p>
    <w:p w14:paraId="4ABAD74E" w14:textId="77777777" w:rsidR="000B7E6D" w:rsidRDefault="000B7E6D" w:rsidP="000B7E6D">
      <w:pPr>
        <w:pStyle w:val="ListParagraph"/>
        <w:numPr>
          <w:ilvl w:val="0"/>
          <w:numId w:val="46"/>
        </w:numPr>
        <w:spacing w:after="0" w:line="240" w:lineRule="auto"/>
        <w:rPr>
          <w:rFonts w:cs="Calibri"/>
          <w:szCs w:val="18"/>
        </w:rPr>
      </w:pPr>
      <w:r>
        <w:rPr>
          <w:rFonts w:cs="Calibri"/>
          <w:szCs w:val="18"/>
        </w:rPr>
        <w:t>Load Bank Fan Failure</w:t>
      </w:r>
    </w:p>
    <w:p w14:paraId="7CE2AED6" w14:textId="77777777" w:rsidR="000B7E6D" w:rsidRDefault="000B7E6D" w:rsidP="000B7E6D">
      <w:pPr>
        <w:rPr>
          <w:rFonts w:cstheme="minorHAnsi"/>
          <w:szCs w:val="20"/>
        </w:rPr>
      </w:pPr>
      <w:r>
        <w:t>All alarm shall result in the shutdown of the load bank and all conditions will be relayed to the site SCADA system.</w:t>
      </w:r>
    </w:p>
    <w:p w14:paraId="0B5779F7" w14:textId="77777777" w:rsidR="000B7E6D" w:rsidRDefault="000B7E6D" w:rsidP="00BA2F9E">
      <w:pPr>
        <w:spacing w:before="120" w:after="120" w:line="240" w:lineRule="auto"/>
        <w:rPr>
          <w:rFonts w:cs="Calibri"/>
          <w:szCs w:val="18"/>
        </w:rPr>
      </w:pPr>
    </w:p>
    <w:p w14:paraId="3D8C3328" w14:textId="77777777" w:rsidR="00BA2F9E" w:rsidRDefault="00BA2F9E" w:rsidP="00BA2F9E">
      <w:pPr>
        <w:spacing w:line="240" w:lineRule="auto"/>
      </w:pPr>
    </w:p>
    <w:p w14:paraId="08237A95" w14:textId="77777777" w:rsidR="00BA2F9E" w:rsidRDefault="00BA2F9E" w:rsidP="00BA2F9E">
      <w:pPr>
        <w:spacing w:line="240" w:lineRule="auto"/>
      </w:pPr>
    </w:p>
    <w:p w14:paraId="444D528F" w14:textId="77777777" w:rsidR="00BA2F9E" w:rsidRDefault="00BA2F9E" w:rsidP="00BA2F9E">
      <w:pPr>
        <w:spacing w:line="240" w:lineRule="auto"/>
      </w:pPr>
    </w:p>
    <w:p w14:paraId="7C680473" w14:textId="77777777" w:rsidR="00EA60DB" w:rsidRPr="00EA60DB" w:rsidRDefault="00EA60DB" w:rsidP="00EA60DB">
      <w:pPr>
        <w:rPr>
          <w:lang w:val="en-US"/>
        </w:rPr>
      </w:pPr>
    </w:p>
    <w:sectPr w:rsidR="00EA60DB" w:rsidRPr="00EA60DB" w:rsidSect="0092183F">
      <w:headerReference w:type="default" r:id="rId8"/>
      <w:pgSz w:w="11906" w:h="16838"/>
      <w:pgMar w:top="1843" w:right="1440" w:bottom="709" w:left="1440" w:header="426"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0E60" w14:textId="77777777" w:rsidR="000C6DB3" w:rsidRDefault="000C6DB3" w:rsidP="00F36F3A">
      <w:pPr>
        <w:spacing w:after="0" w:line="240" w:lineRule="auto"/>
      </w:pPr>
      <w:r>
        <w:separator/>
      </w:r>
    </w:p>
  </w:endnote>
  <w:endnote w:type="continuationSeparator" w:id="0">
    <w:p w14:paraId="41DA76F8" w14:textId="77777777" w:rsidR="000C6DB3" w:rsidRDefault="000C6DB3" w:rsidP="00F3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
    <w:altName w:val="Calibri"/>
    <w:charset w:val="00"/>
    <w:family w:val="auto"/>
    <w:pitch w:val="variable"/>
    <w:sig w:usb0="E0000AFF" w:usb1="5200A1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ter Bold">
    <w:altName w:val="Calibri"/>
    <w:charset w:val="00"/>
    <w:family w:val="auto"/>
    <w:pitch w:val="variable"/>
    <w:sig w:usb0="E0000AFF" w:usb1="5200A1FF" w:usb2="00000021" w:usb3="00000000" w:csb0="0000019F" w:csb1="00000000"/>
  </w:font>
  <w:font w:name="Inter Semi Bold">
    <w:altName w:val="Calibri"/>
    <w:charset w:val="00"/>
    <w:family w:val="auto"/>
    <w:pitch w:val="variable"/>
    <w:sig w:usb0="E0000AFF" w:usb1="5200A1FF" w:usb2="00000021" w:usb3="00000000" w:csb0="0000019F" w:csb1="00000000"/>
  </w:font>
  <w:font w:name="Inter (Body)">
    <w:altName w:val="Inter"/>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AC9F" w14:textId="77777777" w:rsidR="000C6DB3" w:rsidRDefault="000C6DB3" w:rsidP="00F36F3A">
      <w:pPr>
        <w:spacing w:after="0" w:line="240" w:lineRule="auto"/>
      </w:pPr>
      <w:r>
        <w:separator/>
      </w:r>
    </w:p>
  </w:footnote>
  <w:footnote w:type="continuationSeparator" w:id="0">
    <w:p w14:paraId="63F7D2E4" w14:textId="77777777" w:rsidR="000C6DB3" w:rsidRDefault="000C6DB3" w:rsidP="00F3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B8DC" w14:textId="4277A756" w:rsidR="0092183F" w:rsidRPr="0092183F" w:rsidRDefault="00666102" w:rsidP="0092183F">
    <w:pPr>
      <w:spacing w:after="0" w:line="240" w:lineRule="auto"/>
      <w:ind w:left="2120" w:right="-613" w:firstLine="712"/>
      <w:jc w:val="right"/>
      <w:rPr>
        <w:rFonts w:ascii="Arial" w:hAnsi="Arial" w:cs="Arial"/>
        <w:b/>
        <w:spacing w:val="-42"/>
        <w:sz w:val="16"/>
        <w:szCs w:val="16"/>
      </w:rPr>
    </w:pPr>
    <w:r>
      <w:rPr>
        <w:noProof/>
      </w:rPr>
      <w:drawing>
        <wp:anchor distT="0" distB="0" distL="0" distR="0" simplePos="0" relativeHeight="251657728" behindDoc="1" locked="0" layoutInCell="1" allowOverlap="1" wp14:anchorId="45FA1046" wp14:editId="10450258">
          <wp:simplePos x="0" y="0"/>
          <wp:positionH relativeFrom="page">
            <wp:posOffset>447675</wp:posOffset>
          </wp:positionH>
          <wp:positionV relativeFrom="page">
            <wp:posOffset>276225</wp:posOffset>
          </wp:positionV>
          <wp:extent cx="2290445" cy="762000"/>
          <wp:effectExtent l="0" t="0" r="0" b="0"/>
          <wp:wrapSquare wrapText="bothSides"/>
          <wp:docPr id="1"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044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83F" w:rsidRPr="0092183F">
      <w:rPr>
        <w:rFonts w:ascii="Arial" w:hAnsi="Arial" w:cs="Arial"/>
        <w:b/>
        <w:sz w:val="16"/>
        <w:szCs w:val="16"/>
      </w:rPr>
      <w:t>Banana Shire Council</w:t>
    </w:r>
    <w:r w:rsidR="0092183F" w:rsidRPr="0092183F">
      <w:rPr>
        <w:rFonts w:ascii="Arial" w:hAnsi="Arial" w:cs="Arial"/>
        <w:b/>
        <w:spacing w:val="-42"/>
        <w:sz w:val="16"/>
        <w:szCs w:val="16"/>
      </w:rPr>
      <w:t xml:space="preserve"> </w:t>
    </w:r>
  </w:p>
  <w:p w14:paraId="41D0BB4B" w14:textId="77777777" w:rsidR="0092183F" w:rsidRPr="0092183F" w:rsidRDefault="0092183F" w:rsidP="0092183F">
    <w:pPr>
      <w:spacing w:after="0" w:line="240" w:lineRule="auto"/>
      <w:ind w:left="2120" w:right="-613" w:firstLine="712"/>
      <w:jc w:val="right"/>
      <w:rPr>
        <w:rFonts w:ascii="Arial" w:hAnsi="Arial" w:cs="Arial"/>
        <w:spacing w:val="-42"/>
        <w:sz w:val="16"/>
        <w:szCs w:val="16"/>
      </w:rPr>
    </w:pPr>
    <w:r w:rsidRPr="0092183F">
      <w:rPr>
        <w:rFonts w:ascii="Arial" w:hAnsi="Arial" w:cs="Arial"/>
        <w:sz w:val="16"/>
        <w:szCs w:val="16"/>
      </w:rPr>
      <w:t xml:space="preserve">62 Valentine Plains Road, </w:t>
    </w:r>
    <w:r w:rsidR="005271C4" w:rsidRPr="0092183F">
      <w:rPr>
        <w:rFonts w:ascii="Arial" w:hAnsi="Arial" w:cs="Arial"/>
        <w:sz w:val="16"/>
        <w:szCs w:val="16"/>
      </w:rPr>
      <w:t>Biloela</w:t>
    </w:r>
    <w:r w:rsidRPr="0092183F">
      <w:rPr>
        <w:rFonts w:ascii="Arial" w:hAnsi="Arial" w:cs="Arial"/>
        <w:spacing w:val="-42"/>
        <w:sz w:val="16"/>
        <w:szCs w:val="16"/>
      </w:rPr>
      <w:t xml:space="preserve"> </w:t>
    </w:r>
  </w:p>
  <w:p w14:paraId="7FAE113F" w14:textId="77777777" w:rsidR="0092183F" w:rsidRPr="0092183F" w:rsidRDefault="0092183F" w:rsidP="0092183F">
    <w:pPr>
      <w:spacing w:after="0" w:line="240" w:lineRule="auto"/>
      <w:ind w:left="2120" w:right="-613" w:firstLine="712"/>
      <w:jc w:val="right"/>
      <w:rPr>
        <w:rFonts w:ascii="Arial" w:hAnsi="Arial" w:cs="Arial"/>
        <w:sz w:val="16"/>
        <w:szCs w:val="16"/>
      </w:rPr>
    </w:pPr>
    <w:r w:rsidRPr="0092183F">
      <w:rPr>
        <w:rFonts w:ascii="Arial" w:hAnsi="Arial" w:cs="Arial"/>
        <w:sz w:val="16"/>
        <w:szCs w:val="16"/>
      </w:rPr>
      <w:t>PO</w:t>
    </w:r>
    <w:r w:rsidRPr="0092183F">
      <w:rPr>
        <w:rFonts w:ascii="Arial" w:hAnsi="Arial" w:cs="Arial"/>
        <w:spacing w:val="-3"/>
        <w:sz w:val="16"/>
        <w:szCs w:val="16"/>
      </w:rPr>
      <w:t xml:space="preserve"> </w:t>
    </w:r>
    <w:r w:rsidRPr="0092183F">
      <w:rPr>
        <w:rFonts w:ascii="Arial" w:hAnsi="Arial" w:cs="Arial"/>
        <w:sz w:val="16"/>
        <w:szCs w:val="16"/>
      </w:rPr>
      <w:t>Box</w:t>
    </w:r>
    <w:r w:rsidRPr="0092183F">
      <w:rPr>
        <w:rFonts w:ascii="Arial" w:hAnsi="Arial" w:cs="Arial"/>
        <w:spacing w:val="-3"/>
        <w:sz w:val="16"/>
        <w:szCs w:val="16"/>
      </w:rPr>
      <w:t xml:space="preserve"> </w:t>
    </w:r>
    <w:r w:rsidRPr="0092183F">
      <w:rPr>
        <w:rFonts w:ascii="Arial" w:hAnsi="Arial" w:cs="Arial"/>
        <w:sz w:val="16"/>
        <w:szCs w:val="16"/>
      </w:rPr>
      <w:t>412 Biloela QLD</w:t>
    </w:r>
    <w:r w:rsidRPr="0092183F">
      <w:rPr>
        <w:rFonts w:ascii="Arial" w:hAnsi="Arial" w:cs="Arial"/>
        <w:spacing w:val="-4"/>
        <w:sz w:val="16"/>
        <w:szCs w:val="16"/>
      </w:rPr>
      <w:t xml:space="preserve"> </w:t>
    </w:r>
    <w:r w:rsidRPr="0092183F">
      <w:rPr>
        <w:rFonts w:ascii="Arial" w:hAnsi="Arial" w:cs="Arial"/>
        <w:sz w:val="16"/>
        <w:szCs w:val="16"/>
      </w:rPr>
      <w:t>4715</w:t>
    </w:r>
  </w:p>
  <w:p w14:paraId="53D89865" w14:textId="77777777" w:rsidR="0092183F" w:rsidRPr="0092183F" w:rsidRDefault="0092183F" w:rsidP="0092183F">
    <w:pPr>
      <w:spacing w:after="0" w:line="240" w:lineRule="auto"/>
      <w:ind w:right="-613"/>
      <w:jc w:val="right"/>
      <w:rPr>
        <w:rFonts w:ascii="Arial" w:hAnsi="Arial" w:cs="Arial"/>
        <w:sz w:val="16"/>
        <w:szCs w:val="16"/>
      </w:rPr>
    </w:pPr>
    <w:r w:rsidRPr="0092183F">
      <w:rPr>
        <w:rFonts w:ascii="Arial" w:hAnsi="Arial" w:cs="Arial"/>
        <w:sz w:val="16"/>
        <w:szCs w:val="16"/>
      </w:rPr>
      <w:t>Phone</w:t>
    </w:r>
    <w:r w:rsidRPr="0092183F">
      <w:rPr>
        <w:rFonts w:ascii="Arial" w:hAnsi="Arial" w:cs="Arial"/>
        <w:spacing w:val="-1"/>
        <w:sz w:val="16"/>
        <w:szCs w:val="16"/>
      </w:rPr>
      <w:t xml:space="preserve"> </w:t>
    </w:r>
    <w:r w:rsidRPr="0092183F">
      <w:rPr>
        <w:rFonts w:ascii="Arial" w:hAnsi="Arial" w:cs="Arial"/>
        <w:sz w:val="16"/>
        <w:szCs w:val="16"/>
      </w:rPr>
      <w:t>07</w:t>
    </w:r>
    <w:r w:rsidRPr="0092183F">
      <w:rPr>
        <w:rFonts w:ascii="Arial" w:hAnsi="Arial" w:cs="Arial"/>
        <w:spacing w:val="-1"/>
        <w:sz w:val="16"/>
        <w:szCs w:val="16"/>
      </w:rPr>
      <w:t xml:space="preserve"> </w:t>
    </w:r>
    <w:r w:rsidRPr="0092183F">
      <w:rPr>
        <w:rFonts w:ascii="Arial" w:hAnsi="Arial" w:cs="Arial"/>
        <w:sz w:val="16"/>
        <w:szCs w:val="16"/>
      </w:rPr>
      <w:t>4992</w:t>
    </w:r>
    <w:r w:rsidRPr="0092183F">
      <w:rPr>
        <w:rFonts w:ascii="Arial" w:hAnsi="Arial" w:cs="Arial"/>
        <w:spacing w:val="-3"/>
        <w:sz w:val="16"/>
        <w:szCs w:val="16"/>
      </w:rPr>
      <w:t xml:space="preserve"> </w:t>
    </w:r>
    <w:r w:rsidRPr="0092183F">
      <w:rPr>
        <w:rFonts w:ascii="Arial" w:hAnsi="Arial" w:cs="Arial"/>
        <w:sz w:val="16"/>
        <w:szCs w:val="16"/>
      </w:rPr>
      <w:t>9500</w:t>
    </w:r>
    <w:r w:rsidRPr="0092183F">
      <w:rPr>
        <w:rFonts w:ascii="Arial" w:hAnsi="Arial" w:cs="Arial"/>
        <w:spacing w:val="44"/>
        <w:sz w:val="16"/>
        <w:szCs w:val="16"/>
      </w:rPr>
      <w:t xml:space="preserve"> </w:t>
    </w:r>
    <w:r w:rsidRPr="0092183F">
      <w:rPr>
        <w:rFonts w:ascii="Arial" w:hAnsi="Arial" w:cs="Arial"/>
        <w:sz w:val="16"/>
        <w:szCs w:val="16"/>
      </w:rPr>
      <w:t>●</w:t>
    </w:r>
    <w:r w:rsidRPr="0092183F">
      <w:rPr>
        <w:rFonts w:ascii="Arial" w:hAnsi="Arial" w:cs="Arial"/>
        <w:spacing w:val="40"/>
        <w:sz w:val="16"/>
        <w:szCs w:val="16"/>
      </w:rPr>
      <w:t xml:space="preserve"> </w:t>
    </w:r>
    <w:r w:rsidRPr="0092183F">
      <w:rPr>
        <w:rFonts w:ascii="Arial" w:hAnsi="Arial" w:cs="Arial"/>
        <w:sz w:val="16"/>
        <w:szCs w:val="16"/>
      </w:rPr>
      <w:t>Fax</w:t>
    </w:r>
    <w:r w:rsidRPr="0092183F">
      <w:rPr>
        <w:rFonts w:ascii="Arial" w:hAnsi="Arial" w:cs="Arial"/>
        <w:spacing w:val="-4"/>
        <w:sz w:val="16"/>
        <w:szCs w:val="16"/>
      </w:rPr>
      <w:t xml:space="preserve"> </w:t>
    </w:r>
    <w:r w:rsidRPr="0092183F">
      <w:rPr>
        <w:rFonts w:ascii="Arial" w:hAnsi="Arial" w:cs="Arial"/>
        <w:sz w:val="16"/>
        <w:szCs w:val="16"/>
      </w:rPr>
      <w:t>4992 3493</w:t>
    </w:r>
  </w:p>
  <w:p w14:paraId="375B33EF" w14:textId="77777777" w:rsidR="0092183F" w:rsidRPr="0092183F" w:rsidRDefault="0092183F" w:rsidP="0092183F">
    <w:pPr>
      <w:spacing w:after="0" w:line="240" w:lineRule="auto"/>
      <w:ind w:right="-613"/>
      <w:jc w:val="right"/>
      <w:rPr>
        <w:rFonts w:ascii="Arial" w:hAnsi="Arial" w:cs="Arial"/>
        <w:sz w:val="16"/>
        <w:szCs w:val="16"/>
      </w:rPr>
    </w:pPr>
    <w:r w:rsidRPr="0092183F">
      <w:rPr>
        <w:rFonts w:ascii="Arial" w:hAnsi="Arial" w:cs="Arial"/>
        <w:sz w:val="16"/>
        <w:szCs w:val="16"/>
      </w:rPr>
      <w:t>Email</w:t>
    </w:r>
    <w:r w:rsidRPr="0092183F">
      <w:rPr>
        <w:rFonts w:ascii="Arial" w:hAnsi="Arial" w:cs="Arial"/>
        <w:spacing w:val="-9"/>
        <w:sz w:val="16"/>
        <w:szCs w:val="16"/>
      </w:rPr>
      <w:t xml:space="preserve"> </w:t>
    </w:r>
    <w:hyperlink r:id="rId2">
      <w:r w:rsidRPr="0092183F">
        <w:rPr>
          <w:rFonts w:ascii="Arial" w:hAnsi="Arial" w:cs="Arial"/>
          <w:color w:val="0000FF"/>
          <w:sz w:val="16"/>
          <w:szCs w:val="16"/>
          <w:u w:val="single" w:color="0000FF"/>
        </w:rPr>
        <w:t>enquiries@banana.qld.gov.au</w:t>
      </w:r>
      <w:r w:rsidRPr="0092183F">
        <w:rPr>
          <w:rFonts w:ascii="Arial" w:hAnsi="Arial" w:cs="Arial"/>
          <w:color w:val="0000FF"/>
          <w:spacing w:val="-8"/>
          <w:sz w:val="16"/>
          <w:szCs w:val="16"/>
        </w:rPr>
        <w:t xml:space="preserve"> </w:t>
      </w:r>
    </w:hyperlink>
    <w:r w:rsidRPr="0092183F">
      <w:rPr>
        <w:rFonts w:ascii="Arial" w:hAnsi="Arial" w:cs="Arial"/>
        <w:sz w:val="16"/>
        <w:szCs w:val="16"/>
      </w:rPr>
      <w:t>●</w:t>
    </w:r>
    <w:r w:rsidRPr="0092183F">
      <w:rPr>
        <w:rFonts w:ascii="Arial" w:hAnsi="Arial" w:cs="Arial"/>
        <w:spacing w:val="-8"/>
        <w:sz w:val="16"/>
        <w:szCs w:val="16"/>
      </w:rPr>
      <w:t xml:space="preserve"> </w:t>
    </w:r>
    <w:hyperlink r:id="rId3">
      <w:r w:rsidRPr="0092183F">
        <w:rPr>
          <w:rFonts w:ascii="Arial" w:hAnsi="Arial" w:cs="Arial"/>
          <w:color w:val="0000FF"/>
          <w:sz w:val="16"/>
          <w:szCs w:val="16"/>
          <w:u w:val="single" w:color="0000FF"/>
        </w:rPr>
        <w:t>www.banana.qld.gov.au</w:t>
      </w:r>
    </w:hyperlink>
  </w:p>
  <w:p w14:paraId="40E4181D" w14:textId="08CA4979" w:rsidR="0092183F" w:rsidRPr="0092183F" w:rsidRDefault="00030F40" w:rsidP="0092183F">
    <w:pPr>
      <w:spacing w:after="0" w:line="240" w:lineRule="auto"/>
      <w:ind w:right="-613"/>
      <w:jc w:val="right"/>
      <w:rPr>
        <w:rFonts w:ascii="Arial" w:hAnsi="Arial" w:cs="Arial"/>
        <w:sz w:val="16"/>
        <w:szCs w:val="16"/>
      </w:rPr>
    </w:pPr>
    <w:r>
      <w:rPr>
        <w:rFonts w:ascii="Arial" w:hAnsi="Arial" w:cs="Arial"/>
        <w:b/>
        <w:sz w:val="16"/>
        <w:szCs w:val="16"/>
      </w:rPr>
      <w:t>CCS-PR-03-</w:t>
    </w:r>
    <w:r w:rsidR="00093784">
      <w:rPr>
        <w:rFonts w:ascii="Arial" w:hAnsi="Arial" w:cs="Arial"/>
        <w:b/>
        <w:sz w:val="16"/>
        <w:szCs w:val="16"/>
      </w:rPr>
      <w:t>02</w:t>
    </w:r>
    <w:r w:rsidR="00F16CBE">
      <w:rPr>
        <w:rFonts w:ascii="Arial" w:hAnsi="Arial" w:cs="Arial"/>
        <w:b/>
        <w:sz w:val="16"/>
        <w:szCs w:val="16"/>
      </w:rPr>
      <w:t>3</w:t>
    </w:r>
    <w:r w:rsidR="0092183F" w:rsidRPr="0092183F">
      <w:rPr>
        <w:rFonts w:ascii="Arial" w:hAnsi="Arial" w:cs="Arial"/>
        <w:b/>
        <w:sz w:val="16"/>
        <w:szCs w:val="16"/>
      </w:rPr>
      <w:t xml:space="preserve">  </w:t>
    </w:r>
    <w:r w:rsidR="0092183F" w:rsidRPr="0092183F">
      <w:rPr>
        <w:rFonts w:ascii="Arial" w:hAnsi="Arial" w:cs="Arial"/>
        <w:b/>
        <w:spacing w:val="39"/>
        <w:sz w:val="16"/>
        <w:szCs w:val="16"/>
      </w:rPr>
      <w:t xml:space="preserve"> </w:t>
    </w:r>
    <w:r w:rsidR="0092183F" w:rsidRPr="0092183F">
      <w:rPr>
        <w:rFonts w:ascii="Arial" w:hAnsi="Arial" w:cs="Arial"/>
        <w:sz w:val="16"/>
        <w:szCs w:val="16"/>
      </w:rPr>
      <w:t>Document</w:t>
    </w:r>
    <w:r w:rsidR="0092183F" w:rsidRPr="0092183F">
      <w:rPr>
        <w:rFonts w:ascii="Arial" w:hAnsi="Arial" w:cs="Arial"/>
        <w:spacing w:val="-3"/>
        <w:sz w:val="16"/>
        <w:szCs w:val="16"/>
      </w:rPr>
      <w:t xml:space="preserve"> </w:t>
    </w:r>
    <w:r w:rsidR="0092183F" w:rsidRPr="0092183F">
      <w:rPr>
        <w:rFonts w:ascii="Arial" w:hAnsi="Arial" w:cs="Arial"/>
        <w:sz w:val="16"/>
        <w:szCs w:val="16"/>
      </w:rPr>
      <w:t xml:space="preserve">Version: </w:t>
    </w:r>
    <w:r w:rsidR="00D75D14">
      <w:rPr>
        <w:rFonts w:ascii="Arial" w:hAnsi="Arial" w:cs="Arial"/>
        <w:sz w:val="16"/>
        <w:szCs w:val="16"/>
      </w:rPr>
      <w:t>24</w:t>
    </w:r>
    <w:r w:rsidR="0092183F">
      <w:rPr>
        <w:rFonts w:ascii="Arial" w:hAnsi="Arial" w:cs="Arial"/>
        <w:sz w:val="16"/>
        <w:szCs w:val="16"/>
      </w:rPr>
      <w:t xml:space="preserve"> November 202</w:t>
    </w:r>
    <w:r w:rsidR="00D75D14">
      <w:rPr>
        <w:rFonts w:ascii="Arial" w:hAnsi="Arial" w:cs="Arial"/>
        <w:sz w:val="16"/>
        <w:szCs w:val="16"/>
      </w:rPr>
      <w:t>2</w:t>
    </w:r>
  </w:p>
  <w:p w14:paraId="097DE489" w14:textId="77777777" w:rsidR="0092183F" w:rsidRPr="0092183F" w:rsidRDefault="0092183F" w:rsidP="0092183F">
    <w:pPr>
      <w:spacing w:after="0" w:line="240" w:lineRule="auto"/>
      <w:ind w:right="-613"/>
      <w:jc w:val="right"/>
      <w:rPr>
        <w:rFonts w:ascii="Arial" w:hAnsi="Arial" w:cs="Arial"/>
        <w:sz w:val="16"/>
        <w:szCs w:val="16"/>
      </w:rPr>
    </w:pPr>
    <w:r w:rsidRPr="0092183F">
      <w:rPr>
        <w:rFonts w:ascii="Arial" w:hAnsi="Arial" w:cs="Arial"/>
        <w:sz w:val="16"/>
        <w:szCs w:val="16"/>
      </w:rPr>
      <w:t xml:space="preserve">Page </w:t>
    </w:r>
    <w:r w:rsidRPr="0092183F">
      <w:rPr>
        <w:rFonts w:ascii="Arial" w:hAnsi="Arial" w:cs="Arial"/>
        <w:sz w:val="16"/>
        <w:szCs w:val="16"/>
      </w:rPr>
      <w:fldChar w:fldCharType="begin"/>
    </w:r>
    <w:r w:rsidRPr="0092183F">
      <w:rPr>
        <w:rFonts w:ascii="Arial" w:hAnsi="Arial" w:cs="Arial"/>
        <w:sz w:val="16"/>
        <w:szCs w:val="16"/>
      </w:rPr>
      <w:instrText xml:space="preserve"> PAGE  \* Arabic  \* MERGEFORMAT </w:instrText>
    </w:r>
    <w:r w:rsidRPr="0092183F">
      <w:rPr>
        <w:rFonts w:ascii="Arial" w:hAnsi="Arial" w:cs="Arial"/>
        <w:sz w:val="16"/>
        <w:szCs w:val="16"/>
      </w:rPr>
      <w:fldChar w:fldCharType="separate"/>
    </w:r>
    <w:r w:rsidRPr="0092183F">
      <w:rPr>
        <w:rFonts w:ascii="Arial" w:hAnsi="Arial" w:cs="Arial"/>
        <w:sz w:val="16"/>
        <w:szCs w:val="16"/>
      </w:rPr>
      <w:t>1</w:t>
    </w:r>
    <w:r w:rsidRPr="0092183F">
      <w:rPr>
        <w:rFonts w:ascii="Arial" w:hAnsi="Arial" w:cs="Arial"/>
        <w:sz w:val="16"/>
        <w:szCs w:val="16"/>
      </w:rPr>
      <w:fldChar w:fldCharType="end"/>
    </w:r>
    <w:r w:rsidRPr="0092183F">
      <w:rPr>
        <w:rFonts w:ascii="Arial" w:hAnsi="Arial" w:cs="Arial"/>
        <w:sz w:val="16"/>
        <w:szCs w:val="16"/>
      </w:rPr>
      <w:t xml:space="preserve"> of </w:t>
    </w:r>
    <w:r w:rsidRPr="0092183F">
      <w:rPr>
        <w:rFonts w:ascii="Arial" w:hAnsi="Arial" w:cs="Arial"/>
        <w:sz w:val="16"/>
        <w:szCs w:val="16"/>
      </w:rPr>
      <w:fldChar w:fldCharType="begin"/>
    </w:r>
    <w:r w:rsidRPr="0092183F">
      <w:rPr>
        <w:rFonts w:ascii="Arial" w:hAnsi="Arial" w:cs="Arial"/>
        <w:sz w:val="16"/>
        <w:szCs w:val="16"/>
      </w:rPr>
      <w:instrText xml:space="preserve"> NUMPAGES  \* Arabic  \* MERGEFORMAT </w:instrText>
    </w:r>
    <w:r w:rsidRPr="0092183F">
      <w:rPr>
        <w:rFonts w:ascii="Arial" w:hAnsi="Arial" w:cs="Arial"/>
        <w:sz w:val="16"/>
        <w:szCs w:val="16"/>
      </w:rPr>
      <w:fldChar w:fldCharType="separate"/>
    </w:r>
    <w:r w:rsidRPr="0092183F">
      <w:rPr>
        <w:rFonts w:ascii="Arial" w:hAnsi="Arial" w:cs="Arial"/>
        <w:sz w:val="16"/>
        <w:szCs w:val="16"/>
      </w:rPr>
      <w:t>5</w:t>
    </w:r>
    <w:r w:rsidRPr="0092183F">
      <w:rPr>
        <w:rFonts w:ascii="Arial" w:hAnsi="Arial" w:cs="Arial"/>
        <w:sz w:val="16"/>
        <w:szCs w:val="16"/>
      </w:rPr>
      <w:fldChar w:fldCharType="end"/>
    </w:r>
  </w:p>
  <w:p w14:paraId="3DB500A2" w14:textId="77777777" w:rsidR="00F36F3A" w:rsidRDefault="00F36F3A" w:rsidP="00F36F3A">
    <w:pPr>
      <w:pStyle w:val="Header"/>
      <w:tabs>
        <w:tab w:val="clear" w:pos="4513"/>
        <w:tab w:val="clear" w:pos="9026"/>
        <w:tab w:val="left" w:pos="920"/>
        <w:tab w:val="right" w:pos="18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9E6"/>
    <w:multiLevelType w:val="hybridMultilevel"/>
    <w:tmpl w:val="A278404A"/>
    <w:lvl w:ilvl="0" w:tplc="53A2EE18">
      <w:numFmt w:val="bullet"/>
      <w:lvlText w:val="•"/>
      <w:lvlJc w:val="left"/>
      <w:pPr>
        <w:ind w:left="720" w:hanging="360"/>
      </w:pPr>
      <w:rPr>
        <w:rFonts w:ascii="Inter" w:eastAsia="Times New Roman" w:hAnsi="Inter"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D0468"/>
    <w:multiLevelType w:val="multilevel"/>
    <w:tmpl w:val="3F96E0BE"/>
    <w:lvl w:ilvl="0">
      <w:start w:val="1"/>
      <w:numFmt w:val="decimal"/>
      <w:lvlText w:val="%1."/>
      <w:lvlJc w:val="left"/>
      <w:pPr>
        <w:ind w:left="360" w:hanging="360"/>
      </w:pPr>
    </w:lvl>
    <w:lvl w:ilvl="1">
      <w:start w:val="1"/>
      <w:numFmt w:val="bullet"/>
      <w:lvlText w:val="-"/>
      <w:lvlJc w:val="left"/>
      <w:pPr>
        <w:ind w:left="720" w:hanging="360"/>
      </w:pPr>
      <w:rPr>
        <w:rFonts w:ascii="Inter" w:eastAsia="Times New Roman" w:hAnsi="Inter"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9746C2"/>
    <w:multiLevelType w:val="hybridMultilevel"/>
    <w:tmpl w:val="6FE0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7113C"/>
    <w:multiLevelType w:val="hybridMultilevel"/>
    <w:tmpl w:val="FFD8C4CC"/>
    <w:lvl w:ilvl="0" w:tplc="DBC4892C">
      <w:numFmt w:val="bullet"/>
      <w:lvlText w:val="-"/>
      <w:lvlJc w:val="left"/>
      <w:pPr>
        <w:ind w:left="420" w:hanging="360"/>
      </w:pPr>
      <w:rPr>
        <w:rFonts w:ascii="Arial" w:eastAsia="MS Gothic"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08FC5B2A"/>
    <w:multiLevelType w:val="hybridMultilevel"/>
    <w:tmpl w:val="2520C774"/>
    <w:lvl w:ilvl="0" w:tplc="FC4A6654">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4159A"/>
    <w:multiLevelType w:val="hybridMultilevel"/>
    <w:tmpl w:val="A006AE0A"/>
    <w:lvl w:ilvl="0" w:tplc="A8400CAC">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E7E82"/>
    <w:multiLevelType w:val="hybridMultilevel"/>
    <w:tmpl w:val="ECF04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AF7A56"/>
    <w:multiLevelType w:val="multilevel"/>
    <w:tmpl w:val="AC12A212"/>
    <w:lvl w:ilvl="0">
      <w:start w:val="1"/>
      <w:numFmt w:val="decimal"/>
      <w:lvlText w:val="%1."/>
      <w:lvlJc w:val="left"/>
      <w:pPr>
        <w:ind w:left="360" w:hanging="360"/>
      </w:pPr>
    </w:lvl>
    <w:lvl w:ilvl="1">
      <w:start w:val="1"/>
      <w:numFmt w:val="bullet"/>
      <w:lvlText w:val="-"/>
      <w:lvlJc w:val="left"/>
      <w:pPr>
        <w:ind w:left="720" w:hanging="360"/>
      </w:pPr>
      <w:rPr>
        <w:rFonts w:ascii="Inter" w:eastAsia="Times New Roman" w:hAnsi="Inter"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9F69D8"/>
    <w:multiLevelType w:val="hybridMultilevel"/>
    <w:tmpl w:val="9F642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9DB0EB9"/>
    <w:multiLevelType w:val="hybridMultilevel"/>
    <w:tmpl w:val="4EAECE54"/>
    <w:lvl w:ilvl="0" w:tplc="D4C41C9A">
      <w:numFmt w:val="bullet"/>
      <w:lvlText w:val="•"/>
      <w:lvlJc w:val="left"/>
      <w:pPr>
        <w:ind w:left="360" w:hanging="360"/>
      </w:pPr>
      <w:rPr>
        <w:rFonts w:ascii="Inter" w:eastAsia="Times New Roman" w:hAnsi="Inter"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7B178B"/>
    <w:multiLevelType w:val="hybridMultilevel"/>
    <w:tmpl w:val="4CCE06B8"/>
    <w:lvl w:ilvl="0" w:tplc="7BFE462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D681F"/>
    <w:multiLevelType w:val="hybridMultilevel"/>
    <w:tmpl w:val="D808642E"/>
    <w:lvl w:ilvl="0" w:tplc="6E16D8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E928DB"/>
    <w:multiLevelType w:val="hybridMultilevel"/>
    <w:tmpl w:val="AC305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0A6D63"/>
    <w:multiLevelType w:val="hybridMultilevel"/>
    <w:tmpl w:val="C324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05128"/>
    <w:multiLevelType w:val="multilevel"/>
    <w:tmpl w:val="25686A66"/>
    <w:lvl w:ilvl="0">
      <w:start w:val="1"/>
      <w:numFmt w:val="decimal"/>
      <w:lvlText w:val="%1"/>
      <w:lvlJc w:val="left"/>
      <w:pPr>
        <w:ind w:left="375" w:hanging="375"/>
      </w:pPr>
      <w:rPr>
        <w:rFonts w:hint="default"/>
        <w:sz w:val="36"/>
        <w:szCs w:val="36"/>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5" w15:restartNumberingAfterBreak="0">
    <w:nsid w:val="29E97FAA"/>
    <w:multiLevelType w:val="hybridMultilevel"/>
    <w:tmpl w:val="DB1C5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035579"/>
    <w:multiLevelType w:val="hybridMultilevel"/>
    <w:tmpl w:val="71A8D9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F9A52BB"/>
    <w:multiLevelType w:val="hybridMultilevel"/>
    <w:tmpl w:val="989AF8E4"/>
    <w:lvl w:ilvl="0" w:tplc="CB46D5DA">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C53279"/>
    <w:multiLevelType w:val="hybridMultilevel"/>
    <w:tmpl w:val="0F6057CC"/>
    <w:lvl w:ilvl="0" w:tplc="D6C60BB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FD4D07"/>
    <w:multiLevelType w:val="hybridMultilevel"/>
    <w:tmpl w:val="68284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512F55"/>
    <w:multiLevelType w:val="hybridMultilevel"/>
    <w:tmpl w:val="280A9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B47784"/>
    <w:multiLevelType w:val="hybridMultilevel"/>
    <w:tmpl w:val="9782D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BB6A58"/>
    <w:multiLevelType w:val="multilevel"/>
    <w:tmpl w:val="ABEC1DAA"/>
    <w:lvl w:ilvl="0">
      <w:start w:val="1"/>
      <w:numFmt w:val="decimal"/>
      <w:pStyle w:val="Heading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386E0A08"/>
    <w:multiLevelType w:val="hybridMultilevel"/>
    <w:tmpl w:val="23921B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D262376"/>
    <w:multiLevelType w:val="hybridMultilevel"/>
    <w:tmpl w:val="8A2AE626"/>
    <w:lvl w:ilvl="0" w:tplc="7D6E8C2A">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7649C1"/>
    <w:multiLevelType w:val="hybridMultilevel"/>
    <w:tmpl w:val="E6169B50"/>
    <w:lvl w:ilvl="0" w:tplc="3A042E9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FA3ACD"/>
    <w:multiLevelType w:val="multilevel"/>
    <w:tmpl w:val="C4241706"/>
    <w:lvl w:ilvl="0">
      <w:start w:val="1"/>
      <w:numFmt w:val="decimal"/>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5"/>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7BC3986"/>
    <w:multiLevelType w:val="hybridMultilevel"/>
    <w:tmpl w:val="1A2A14CA"/>
    <w:lvl w:ilvl="0" w:tplc="CF3E086A">
      <w:start w:val="4"/>
      <w:numFmt w:val="bullet"/>
      <w:lvlText w:val=""/>
      <w:lvlJc w:val="left"/>
      <w:pPr>
        <w:ind w:left="720" w:hanging="360"/>
      </w:pPr>
      <w:rPr>
        <w:rFonts w:ascii="Wingdings" w:eastAsia="Calibri"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92D0FF8"/>
    <w:multiLevelType w:val="hybridMultilevel"/>
    <w:tmpl w:val="4F085944"/>
    <w:lvl w:ilvl="0" w:tplc="D4C41C9A">
      <w:numFmt w:val="bullet"/>
      <w:lvlText w:val="•"/>
      <w:lvlJc w:val="left"/>
      <w:pPr>
        <w:ind w:left="360" w:hanging="360"/>
      </w:pPr>
      <w:rPr>
        <w:rFonts w:ascii="Inter" w:eastAsia="Times New Roman" w:hAnsi="Inter" w:cstheme="minorHAnsi" w:hint="default"/>
      </w:rPr>
    </w:lvl>
    <w:lvl w:ilvl="1" w:tplc="0C090003">
      <w:start w:val="1"/>
      <w:numFmt w:val="bullet"/>
      <w:lvlText w:val="o"/>
      <w:lvlJc w:val="left"/>
      <w:pPr>
        <w:ind w:left="1080" w:hanging="360"/>
      </w:pPr>
      <w:rPr>
        <w:rFonts w:ascii="Courier New" w:hAnsi="Courier New" w:cs="Courier New" w:hint="default"/>
      </w:rPr>
    </w:lvl>
    <w:lvl w:ilvl="2" w:tplc="D8248BB4">
      <w:start w:val="1"/>
      <w:numFmt w:val="bullet"/>
      <w:lvlText w:val="-"/>
      <w:lvlJc w:val="left"/>
      <w:pPr>
        <w:ind w:left="1800" w:hanging="360"/>
      </w:pPr>
      <w:rPr>
        <w:rFonts w:ascii="Inter" w:eastAsia="Times New Roman" w:hAnsi="Inter" w:cstheme="minorHAns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D04269"/>
    <w:multiLevelType w:val="multilevel"/>
    <w:tmpl w:val="FCB8ED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9874D8"/>
    <w:multiLevelType w:val="hybridMultilevel"/>
    <w:tmpl w:val="0FE8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CD3CFA"/>
    <w:multiLevelType w:val="hybridMultilevel"/>
    <w:tmpl w:val="CD4ED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2B475A"/>
    <w:multiLevelType w:val="hybridMultilevel"/>
    <w:tmpl w:val="78DAA834"/>
    <w:lvl w:ilvl="0" w:tplc="09FEB7E6">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3256F4"/>
    <w:multiLevelType w:val="multilevel"/>
    <w:tmpl w:val="95EC281E"/>
    <w:lvl w:ilvl="0">
      <w:start w:val="1"/>
      <w:numFmt w:val="decimal"/>
      <w:lvlText w:val="%1."/>
      <w:lvlJc w:val="left"/>
      <w:pPr>
        <w:ind w:left="644"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5472532F"/>
    <w:multiLevelType w:val="hybridMultilevel"/>
    <w:tmpl w:val="D12E7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D62937"/>
    <w:multiLevelType w:val="hybridMultilevel"/>
    <w:tmpl w:val="B0ECD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767BC9"/>
    <w:multiLevelType w:val="hybridMultilevel"/>
    <w:tmpl w:val="A9F6D31A"/>
    <w:lvl w:ilvl="0" w:tplc="6754608E">
      <w:numFmt w:val="bullet"/>
      <w:lvlText w:val="•"/>
      <w:lvlJc w:val="left"/>
      <w:pPr>
        <w:ind w:left="720" w:hanging="360"/>
      </w:pPr>
      <w:rPr>
        <w:rFonts w:ascii="Inter" w:eastAsia="Times New Roman" w:hAnsi="Inter"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7B6896"/>
    <w:multiLevelType w:val="hybridMultilevel"/>
    <w:tmpl w:val="E146F762"/>
    <w:lvl w:ilvl="0" w:tplc="9E1E5748">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D45EFC"/>
    <w:multiLevelType w:val="hybridMultilevel"/>
    <w:tmpl w:val="E3AAB580"/>
    <w:lvl w:ilvl="0" w:tplc="EA1CE3A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4470C6"/>
    <w:multiLevelType w:val="hybridMultilevel"/>
    <w:tmpl w:val="4EBE50A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6841536"/>
    <w:multiLevelType w:val="hybridMultilevel"/>
    <w:tmpl w:val="BE985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0385A26"/>
    <w:multiLevelType w:val="hybridMultilevel"/>
    <w:tmpl w:val="6F103F0A"/>
    <w:lvl w:ilvl="0" w:tplc="D4C41C9A">
      <w:numFmt w:val="bullet"/>
      <w:lvlText w:val="•"/>
      <w:lvlJc w:val="left"/>
      <w:pPr>
        <w:ind w:left="360" w:hanging="360"/>
      </w:pPr>
      <w:rPr>
        <w:rFonts w:ascii="Inter" w:eastAsia="Times New Roman" w:hAnsi="Inter"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DC721E"/>
    <w:multiLevelType w:val="hybridMultilevel"/>
    <w:tmpl w:val="08364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5A47178"/>
    <w:multiLevelType w:val="hybridMultilevel"/>
    <w:tmpl w:val="BFBC2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A4202E"/>
    <w:multiLevelType w:val="hybridMultilevel"/>
    <w:tmpl w:val="7AC65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CC19B9"/>
    <w:multiLevelType w:val="hybridMultilevel"/>
    <w:tmpl w:val="17AA142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84085094">
    <w:abstractNumId w:val="20"/>
  </w:num>
  <w:num w:numId="2" w16cid:durableId="24915457">
    <w:abstractNumId w:val="34"/>
  </w:num>
  <w:num w:numId="3" w16cid:durableId="1636334513">
    <w:abstractNumId w:val="13"/>
  </w:num>
  <w:num w:numId="4" w16cid:durableId="1302151458">
    <w:abstractNumId w:val="38"/>
  </w:num>
  <w:num w:numId="5" w16cid:durableId="582765554">
    <w:abstractNumId w:val="11"/>
  </w:num>
  <w:num w:numId="6" w16cid:durableId="1480537436">
    <w:abstractNumId w:val="5"/>
  </w:num>
  <w:num w:numId="7" w16cid:durableId="1627544950">
    <w:abstractNumId w:val="24"/>
  </w:num>
  <w:num w:numId="8" w16cid:durableId="1259871843">
    <w:abstractNumId w:val="32"/>
  </w:num>
  <w:num w:numId="9" w16cid:durableId="748695036">
    <w:abstractNumId w:val="27"/>
  </w:num>
  <w:num w:numId="10" w16cid:durableId="1371419037">
    <w:abstractNumId w:val="4"/>
  </w:num>
  <w:num w:numId="11" w16cid:durableId="1063869281">
    <w:abstractNumId w:val="29"/>
  </w:num>
  <w:num w:numId="12" w16cid:durableId="770931599">
    <w:abstractNumId w:val="43"/>
  </w:num>
  <w:num w:numId="13" w16cid:durableId="44529695">
    <w:abstractNumId w:val="33"/>
  </w:num>
  <w:num w:numId="14" w16cid:durableId="460542255">
    <w:abstractNumId w:val="21"/>
  </w:num>
  <w:num w:numId="15" w16cid:durableId="1694458737">
    <w:abstractNumId w:val="2"/>
  </w:num>
  <w:num w:numId="16" w16cid:durableId="401607839">
    <w:abstractNumId w:val="26"/>
  </w:num>
  <w:num w:numId="17" w16cid:durableId="1268350867">
    <w:abstractNumId w:val="3"/>
  </w:num>
  <w:num w:numId="18" w16cid:durableId="1676568658">
    <w:abstractNumId w:val="37"/>
  </w:num>
  <w:num w:numId="19" w16cid:durableId="746072331">
    <w:abstractNumId w:val="10"/>
  </w:num>
  <w:num w:numId="20" w16cid:durableId="1868129974">
    <w:abstractNumId w:val="25"/>
  </w:num>
  <w:num w:numId="21" w16cid:durableId="1809977566">
    <w:abstractNumId w:val="15"/>
  </w:num>
  <w:num w:numId="22" w16cid:durableId="1262839693">
    <w:abstractNumId w:val="31"/>
  </w:num>
  <w:num w:numId="23" w16cid:durableId="877819307">
    <w:abstractNumId w:val="44"/>
  </w:num>
  <w:num w:numId="24" w16cid:durableId="1116175311">
    <w:abstractNumId w:val="7"/>
  </w:num>
  <w:num w:numId="25" w16cid:durableId="1801415530">
    <w:abstractNumId w:val="1"/>
  </w:num>
  <w:num w:numId="26" w16cid:durableId="924388343">
    <w:abstractNumId w:val="30"/>
  </w:num>
  <w:num w:numId="27" w16cid:durableId="228612077">
    <w:abstractNumId w:val="36"/>
  </w:num>
  <w:num w:numId="28" w16cid:durableId="1712682590">
    <w:abstractNumId w:val="14"/>
  </w:num>
  <w:num w:numId="29" w16cid:durableId="1622151104">
    <w:abstractNumId w:val="12"/>
  </w:num>
  <w:num w:numId="30" w16cid:durableId="331686096">
    <w:abstractNumId w:val="0"/>
  </w:num>
  <w:num w:numId="31" w16cid:durableId="833102882">
    <w:abstractNumId w:val="28"/>
  </w:num>
  <w:num w:numId="32" w16cid:durableId="946810052">
    <w:abstractNumId w:val="18"/>
  </w:num>
  <w:num w:numId="33" w16cid:durableId="178549773">
    <w:abstractNumId w:val="19"/>
  </w:num>
  <w:num w:numId="34" w16cid:durableId="362250225">
    <w:abstractNumId w:val="41"/>
  </w:num>
  <w:num w:numId="35" w16cid:durableId="526867355">
    <w:abstractNumId w:val="9"/>
  </w:num>
  <w:num w:numId="36" w16cid:durableId="340395788">
    <w:abstractNumId w:val="45"/>
  </w:num>
  <w:num w:numId="37" w16cid:durableId="1935897089">
    <w:abstractNumId w:val="39"/>
  </w:num>
  <w:num w:numId="38" w16cid:durableId="1452672565">
    <w:abstractNumId w:val="35"/>
  </w:num>
  <w:num w:numId="39" w16cid:durableId="2128885219">
    <w:abstractNumId w:val="6"/>
  </w:num>
  <w:num w:numId="40" w16cid:durableId="548149410">
    <w:abstractNumId w:val="22"/>
  </w:num>
  <w:num w:numId="41" w16cid:durableId="1396316732">
    <w:abstractNumId w:val="16"/>
  </w:num>
  <w:num w:numId="42" w16cid:durableId="1012879616">
    <w:abstractNumId w:val="17"/>
  </w:num>
  <w:num w:numId="43" w16cid:durableId="1795177043">
    <w:abstractNumId w:val="40"/>
  </w:num>
  <w:num w:numId="44" w16cid:durableId="726144939">
    <w:abstractNumId w:val="23"/>
  </w:num>
  <w:num w:numId="45" w16cid:durableId="477189494">
    <w:abstractNumId w:val="42"/>
  </w:num>
  <w:num w:numId="46" w16cid:durableId="573393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MDO3MLOwtDSzNDNV0lEKTi0uzszPAykwqQUA8gXgSywAAAA="/>
  </w:docVars>
  <w:rsids>
    <w:rsidRoot w:val="0069717B"/>
    <w:rsid w:val="0000506A"/>
    <w:rsid w:val="00006E5B"/>
    <w:rsid w:val="000117E0"/>
    <w:rsid w:val="00013D95"/>
    <w:rsid w:val="00030F40"/>
    <w:rsid w:val="0003215E"/>
    <w:rsid w:val="000332C2"/>
    <w:rsid w:val="00033E9C"/>
    <w:rsid w:val="00037B0B"/>
    <w:rsid w:val="000628E9"/>
    <w:rsid w:val="0006333B"/>
    <w:rsid w:val="00063B67"/>
    <w:rsid w:val="00072844"/>
    <w:rsid w:val="00073370"/>
    <w:rsid w:val="00093784"/>
    <w:rsid w:val="000952D0"/>
    <w:rsid w:val="00095866"/>
    <w:rsid w:val="000972B4"/>
    <w:rsid w:val="00097A6D"/>
    <w:rsid w:val="000B09B3"/>
    <w:rsid w:val="000B2BF7"/>
    <w:rsid w:val="000B2FCF"/>
    <w:rsid w:val="000B36E3"/>
    <w:rsid w:val="000B3878"/>
    <w:rsid w:val="000B68FA"/>
    <w:rsid w:val="000B7E6D"/>
    <w:rsid w:val="000C152C"/>
    <w:rsid w:val="000C2C31"/>
    <w:rsid w:val="000C56EC"/>
    <w:rsid w:val="000C6DB3"/>
    <w:rsid w:val="000D2A32"/>
    <w:rsid w:val="000D62B5"/>
    <w:rsid w:val="000D6F56"/>
    <w:rsid w:val="000E715F"/>
    <w:rsid w:val="000E734F"/>
    <w:rsid w:val="000F115A"/>
    <w:rsid w:val="000F2227"/>
    <w:rsid w:val="000F6E74"/>
    <w:rsid w:val="00107875"/>
    <w:rsid w:val="001159BC"/>
    <w:rsid w:val="0012714A"/>
    <w:rsid w:val="0012786E"/>
    <w:rsid w:val="00130554"/>
    <w:rsid w:val="00132DC8"/>
    <w:rsid w:val="00133E05"/>
    <w:rsid w:val="001340B8"/>
    <w:rsid w:val="00150B79"/>
    <w:rsid w:val="00156749"/>
    <w:rsid w:val="00163441"/>
    <w:rsid w:val="00163D3C"/>
    <w:rsid w:val="001649B8"/>
    <w:rsid w:val="00164B77"/>
    <w:rsid w:val="001666C2"/>
    <w:rsid w:val="00186754"/>
    <w:rsid w:val="0019171E"/>
    <w:rsid w:val="001A01C5"/>
    <w:rsid w:val="001A7858"/>
    <w:rsid w:val="001B057B"/>
    <w:rsid w:val="001B55C6"/>
    <w:rsid w:val="001C2B11"/>
    <w:rsid w:val="001C3A46"/>
    <w:rsid w:val="001D3A9F"/>
    <w:rsid w:val="001D6338"/>
    <w:rsid w:val="001D6786"/>
    <w:rsid w:val="001D7960"/>
    <w:rsid w:val="001E1001"/>
    <w:rsid w:val="001E3ADC"/>
    <w:rsid w:val="001E3BC4"/>
    <w:rsid w:val="001E58CB"/>
    <w:rsid w:val="001E58DB"/>
    <w:rsid w:val="00204F54"/>
    <w:rsid w:val="0021113A"/>
    <w:rsid w:val="00211624"/>
    <w:rsid w:val="00211E7D"/>
    <w:rsid w:val="00214DBC"/>
    <w:rsid w:val="002211CB"/>
    <w:rsid w:val="0022128F"/>
    <w:rsid w:val="0022221D"/>
    <w:rsid w:val="00226892"/>
    <w:rsid w:val="00242C2A"/>
    <w:rsid w:val="0024549C"/>
    <w:rsid w:val="00247227"/>
    <w:rsid w:val="00250F3B"/>
    <w:rsid w:val="0025125A"/>
    <w:rsid w:val="002537B4"/>
    <w:rsid w:val="0025573E"/>
    <w:rsid w:val="00262C28"/>
    <w:rsid w:val="00270063"/>
    <w:rsid w:val="00273385"/>
    <w:rsid w:val="00285B8C"/>
    <w:rsid w:val="00296821"/>
    <w:rsid w:val="002A1303"/>
    <w:rsid w:val="002A6F75"/>
    <w:rsid w:val="002B3DD4"/>
    <w:rsid w:val="002B5C19"/>
    <w:rsid w:val="002D1096"/>
    <w:rsid w:val="002E0EF7"/>
    <w:rsid w:val="002E6040"/>
    <w:rsid w:val="002F6E4B"/>
    <w:rsid w:val="00304B41"/>
    <w:rsid w:val="00310614"/>
    <w:rsid w:val="003126DF"/>
    <w:rsid w:val="003161BE"/>
    <w:rsid w:val="0032171B"/>
    <w:rsid w:val="00331C34"/>
    <w:rsid w:val="00336B66"/>
    <w:rsid w:val="003405BD"/>
    <w:rsid w:val="003455AD"/>
    <w:rsid w:val="00352AB0"/>
    <w:rsid w:val="00357808"/>
    <w:rsid w:val="003602F4"/>
    <w:rsid w:val="00363AD9"/>
    <w:rsid w:val="003658B4"/>
    <w:rsid w:val="00373189"/>
    <w:rsid w:val="00380E22"/>
    <w:rsid w:val="00385E1C"/>
    <w:rsid w:val="00393B99"/>
    <w:rsid w:val="003A13D8"/>
    <w:rsid w:val="003B6C3F"/>
    <w:rsid w:val="003D2461"/>
    <w:rsid w:val="003D2B93"/>
    <w:rsid w:val="003F6405"/>
    <w:rsid w:val="00400905"/>
    <w:rsid w:val="004062A5"/>
    <w:rsid w:val="00420276"/>
    <w:rsid w:val="004257DE"/>
    <w:rsid w:val="004258B7"/>
    <w:rsid w:val="00426092"/>
    <w:rsid w:val="00427EA4"/>
    <w:rsid w:val="00445C88"/>
    <w:rsid w:val="00450E97"/>
    <w:rsid w:val="0045389E"/>
    <w:rsid w:val="004656F9"/>
    <w:rsid w:val="00473AF4"/>
    <w:rsid w:val="004910CD"/>
    <w:rsid w:val="004948A5"/>
    <w:rsid w:val="004973DA"/>
    <w:rsid w:val="00497A2D"/>
    <w:rsid w:val="004A16A9"/>
    <w:rsid w:val="004A3326"/>
    <w:rsid w:val="004B7485"/>
    <w:rsid w:val="004D129B"/>
    <w:rsid w:val="004D2FB6"/>
    <w:rsid w:val="004F4B0C"/>
    <w:rsid w:val="00501C68"/>
    <w:rsid w:val="00503B29"/>
    <w:rsid w:val="005048C9"/>
    <w:rsid w:val="00517A9B"/>
    <w:rsid w:val="00517D30"/>
    <w:rsid w:val="005200E3"/>
    <w:rsid w:val="005271C4"/>
    <w:rsid w:val="00536904"/>
    <w:rsid w:val="00587FD6"/>
    <w:rsid w:val="005A4BBE"/>
    <w:rsid w:val="005A5917"/>
    <w:rsid w:val="005A7660"/>
    <w:rsid w:val="005C3122"/>
    <w:rsid w:val="005C36F7"/>
    <w:rsid w:val="005C5B8D"/>
    <w:rsid w:val="005D3A1A"/>
    <w:rsid w:val="005E2755"/>
    <w:rsid w:val="005E595D"/>
    <w:rsid w:val="005F1EF7"/>
    <w:rsid w:val="005F3F03"/>
    <w:rsid w:val="006015DB"/>
    <w:rsid w:val="00602926"/>
    <w:rsid w:val="006043B0"/>
    <w:rsid w:val="00605EE6"/>
    <w:rsid w:val="006141F0"/>
    <w:rsid w:val="00623F77"/>
    <w:rsid w:val="00624318"/>
    <w:rsid w:val="00624C4E"/>
    <w:rsid w:val="00627112"/>
    <w:rsid w:val="00632D5C"/>
    <w:rsid w:val="00645F86"/>
    <w:rsid w:val="00652869"/>
    <w:rsid w:val="006648D7"/>
    <w:rsid w:val="00666102"/>
    <w:rsid w:val="00674B3A"/>
    <w:rsid w:val="00676E45"/>
    <w:rsid w:val="006816F7"/>
    <w:rsid w:val="0068347C"/>
    <w:rsid w:val="0068663B"/>
    <w:rsid w:val="00687B2B"/>
    <w:rsid w:val="00687E22"/>
    <w:rsid w:val="00690FFD"/>
    <w:rsid w:val="0069140D"/>
    <w:rsid w:val="00693DBE"/>
    <w:rsid w:val="00694AB0"/>
    <w:rsid w:val="0069717B"/>
    <w:rsid w:val="006A7875"/>
    <w:rsid w:val="006B3CD8"/>
    <w:rsid w:val="006C09B4"/>
    <w:rsid w:val="006C22C6"/>
    <w:rsid w:val="006C5CB2"/>
    <w:rsid w:val="006D557C"/>
    <w:rsid w:val="006E3065"/>
    <w:rsid w:val="006E33EB"/>
    <w:rsid w:val="006F561F"/>
    <w:rsid w:val="00701CCD"/>
    <w:rsid w:val="00702B54"/>
    <w:rsid w:val="007060F6"/>
    <w:rsid w:val="00711E03"/>
    <w:rsid w:val="00713694"/>
    <w:rsid w:val="00714B0A"/>
    <w:rsid w:val="00714FFD"/>
    <w:rsid w:val="00715F49"/>
    <w:rsid w:val="00737C50"/>
    <w:rsid w:val="0074755B"/>
    <w:rsid w:val="00751A58"/>
    <w:rsid w:val="00776CA9"/>
    <w:rsid w:val="00786EBD"/>
    <w:rsid w:val="00792A77"/>
    <w:rsid w:val="00793A0E"/>
    <w:rsid w:val="007A2691"/>
    <w:rsid w:val="007A4635"/>
    <w:rsid w:val="007B1C04"/>
    <w:rsid w:val="007B3C54"/>
    <w:rsid w:val="007B61EC"/>
    <w:rsid w:val="007C27FF"/>
    <w:rsid w:val="007D2ADE"/>
    <w:rsid w:val="007D77F8"/>
    <w:rsid w:val="007E0367"/>
    <w:rsid w:val="007E2AE7"/>
    <w:rsid w:val="007E692B"/>
    <w:rsid w:val="007F340E"/>
    <w:rsid w:val="00803412"/>
    <w:rsid w:val="00805147"/>
    <w:rsid w:val="008149D0"/>
    <w:rsid w:val="00817F65"/>
    <w:rsid w:val="00821702"/>
    <w:rsid w:val="00827DBA"/>
    <w:rsid w:val="00837211"/>
    <w:rsid w:val="00841B03"/>
    <w:rsid w:val="00846816"/>
    <w:rsid w:val="00846C8D"/>
    <w:rsid w:val="00847E8D"/>
    <w:rsid w:val="00860BC6"/>
    <w:rsid w:val="008716B6"/>
    <w:rsid w:val="00873130"/>
    <w:rsid w:val="008768EF"/>
    <w:rsid w:val="00883EC4"/>
    <w:rsid w:val="00883FE3"/>
    <w:rsid w:val="0088511D"/>
    <w:rsid w:val="00891E0A"/>
    <w:rsid w:val="008931BF"/>
    <w:rsid w:val="008A0F67"/>
    <w:rsid w:val="008A5CAF"/>
    <w:rsid w:val="008B0DE1"/>
    <w:rsid w:val="008B21E7"/>
    <w:rsid w:val="008B5DC1"/>
    <w:rsid w:val="008C1D32"/>
    <w:rsid w:val="008C379E"/>
    <w:rsid w:val="008C4D5F"/>
    <w:rsid w:val="008D0CF4"/>
    <w:rsid w:val="008D30DD"/>
    <w:rsid w:val="008F4221"/>
    <w:rsid w:val="008F4C4B"/>
    <w:rsid w:val="009014C9"/>
    <w:rsid w:val="009015BB"/>
    <w:rsid w:val="00902646"/>
    <w:rsid w:val="00910E32"/>
    <w:rsid w:val="00913810"/>
    <w:rsid w:val="0092183F"/>
    <w:rsid w:val="00922D16"/>
    <w:rsid w:val="00932CEE"/>
    <w:rsid w:val="0094582C"/>
    <w:rsid w:val="009675E8"/>
    <w:rsid w:val="009717C3"/>
    <w:rsid w:val="009833AF"/>
    <w:rsid w:val="0098623E"/>
    <w:rsid w:val="0098633B"/>
    <w:rsid w:val="0099410D"/>
    <w:rsid w:val="00994132"/>
    <w:rsid w:val="009A458A"/>
    <w:rsid w:val="009B04DF"/>
    <w:rsid w:val="009B230C"/>
    <w:rsid w:val="009B456D"/>
    <w:rsid w:val="009B6CAA"/>
    <w:rsid w:val="009C136B"/>
    <w:rsid w:val="009C285A"/>
    <w:rsid w:val="009C5A94"/>
    <w:rsid w:val="009D10CD"/>
    <w:rsid w:val="009D3103"/>
    <w:rsid w:val="009E4D61"/>
    <w:rsid w:val="009F104A"/>
    <w:rsid w:val="00A0031B"/>
    <w:rsid w:val="00A03974"/>
    <w:rsid w:val="00A0481C"/>
    <w:rsid w:val="00A0690E"/>
    <w:rsid w:val="00A07061"/>
    <w:rsid w:val="00A1612E"/>
    <w:rsid w:val="00A17F5A"/>
    <w:rsid w:val="00A20773"/>
    <w:rsid w:val="00A20EA3"/>
    <w:rsid w:val="00A41038"/>
    <w:rsid w:val="00A505BF"/>
    <w:rsid w:val="00A514B0"/>
    <w:rsid w:val="00A5167D"/>
    <w:rsid w:val="00A5777B"/>
    <w:rsid w:val="00A62A22"/>
    <w:rsid w:val="00A63D0A"/>
    <w:rsid w:val="00A64211"/>
    <w:rsid w:val="00A8260A"/>
    <w:rsid w:val="00A85A5F"/>
    <w:rsid w:val="00A86C19"/>
    <w:rsid w:val="00AA3AD9"/>
    <w:rsid w:val="00AA72E0"/>
    <w:rsid w:val="00AB185E"/>
    <w:rsid w:val="00AC2C11"/>
    <w:rsid w:val="00AD6F50"/>
    <w:rsid w:val="00AE1430"/>
    <w:rsid w:val="00AE2116"/>
    <w:rsid w:val="00AF7A0A"/>
    <w:rsid w:val="00B013FA"/>
    <w:rsid w:val="00B1096A"/>
    <w:rsid w:val="00B11B40"/>
    <w:rsid w:val="00B15E98"/>
    <w:rsid w:val="00B16023"/>
    <w:rsid w:val="00B2482B"/>
    <w:rsid w:val="00B25303"/>
    <w:rsid w:val="00B26B6D"/>
    <w:rsid w:val="00B2773A"/>
    <w:rsid w:val="00B31D0A"/>
    <w:rsid w:val="00B32E21"/>
    <w:rsid w:val="00B40EA4"/>
    <w:rsid w:val="00B450F1"/>
    <w:rsid w:val="00B536C4"/>
    <w:rsid w:val="00B55642"/>
    <w:rsid w:val="00B64822"/>
    <w:rsid w:val="00B72BEB"/>
    <w:rsid w:val="00B73E4A"/>
    <w:rsid w:val="00B85C51"/>
    <w:rsid w:val="00B90028"/>
    <w:rsid w:val="00BA2F9E"/>
    <w:rsid w:val="00BF4A8A"/>
    <w:rsid w:val="00BF68CC"/>
    <w:rsid w:val="00C01B2B"/>
    <w:rsid w:val="00C349E1"/>
    <w:rsid w:val="00C37692"/>
    <w:rsid w:val="00C43FCE"/>
    <w:rsid w:val="00C54C5E"/>
    <w:rsid w:val="00C55233"/>
    <w:rsid w:val="00C5560F"/>
    <w:rsid w:val="00C67267"/>
    <w:rsid w:val="00C768F8"/>
    <w:rsid w:val="00C8022B"/>
    <w:rsid w:val="00CA6635"/>
    <w:rsid w:val="00CB057A"/>
    <w:rsid w:val="00CB0A35"/>
    <w:rsid w:val="00CB7F2D"/>
    <w:rsid w:val="00CC0407"/>
    <w:rsid w:val="00CC52A3"/>
    <w:rsid w:val="00CC7E53"/>
    <w:rsid w:val="00CD6D68"/>
    <w:rsid w:val="00CD7E2E"/>
    <w:rsid w:val="00CE77E2"/>
    <w:rsid w:val="00CF0E56"/>
    <w:rsid w:val="00CF15E0"/>
    <w:rsid w:val="00CF64E0"/>
    <w:rsid w:val="00D0234F"/>
    <w:rsid w:val="00D03676"/>
    <w:rsid w:val="00D117EF"/>
    <w:rsid w:val="00D11B7E"/>
    <w:rsid w:val="00D127B3"/>
    <w:rsid w:val="00D21594"/>
    <w:rsid w:val="00D34758"/>
    <w:rsid w:val="00D3709A"/>
    <w:rsid w:val="00D378C8"/>
    <w:rsid w:val="00D4272B"/>
    <w:rsid w:val="00D72CD6"/>
    <w:rsid w:val="00D7386D"/>
    <w:rsid w:val="00D75D14"/>
    <w:rsid w:val="00D80BC8"/>
    <w:rsid w:val="00D84092"/>
    <w:rsid w:val="00D86CFF"/>
    <w:rsid w:val="00DA42D5"/>
    <w:rsid w:val="00DC0B36"/>
    <w:rsid w:val="00DC40C2"/>
    <w:rsid w:val="00DC41F3"/>
    <w:rsid w:val="00DC42C7"/>
    <w:rsid w:val="00DE4191"/>
    <w:rsid w:val="00DE5618"/>
    <w:rsid w:val="00DE5B87"/>
    <w:rsid w:val="00DF463D"/>
    <w:rsid w:val="00DF5CC9"/>
    <w:rsid w:val="00DF60B7"/>
    <w:rsid w:val="00E02622"/>
    <w:rsid w:val="00E02F7E"/>
    <w:rsid w:val="00E04707"/>
    <w:rsid w:val="00E07C35"/>
    <w:rsid w:val="00E12225"/>
    <w:rsid w:val="00E1374A"/>
    <w:rsid w:val="00E14204"/>
    <w:rsid w:val="00E306DF"/>
    <w:rsid w:val="00E41933"/>
    <w:rsid w:val="00E45F9F"/>
    <w:rsid w:val="00E47CA8"/>
    <w:rsid w:val="00E52D1A"/>
    <w:rsid w:val="00E53822"/>
    <w:rsid w:val="00E55A9C"/>
    <w:rsid w:val="00E61B9D"/>
    <w:rsid w:val="00E76911"/>
    <w:rsid w:val="00E77A2A"/>
    <w:rsid w:val="00E77A53"/>
    <w:rsid w:val="00EA4E79"/>
    <w:rsid w:val="00EA60DB"/>
    <w:rsid w:val="00EA782C"/>
    <w:rsid w:val="00EA7FD3"/>
    <w:rsid w:val="00EB227D"/>
    <w:rsid w:val="00EB28CF"/>
    <w:rsid w:val="00EB422E"/>
    <w:rsid w:val="00EC0108"/>
    <w:rsid w:val="00EC557D"/>
    <w:rsid w:val="00EE662C"/>
    <w:rsid w:val="00EF1443"/>
    <w:rsid w:val="00EF2A38"/>
    <w:rsid w:val="00EF48A8"/>
    <w:rsid w:val="00F003DB"/>
    <w:rsid w:val="00F108D6"/>
    <w:rsid w:val="00F16CBE"/>
    <w:rsid w:val="00F2188E"/>
    <w:rsid w:val="00F229BA"/>
    <w:rsid w:val="00F3464B"/>
    <w:rsid w:val="00F36F3A"/>
    <w:rsid w:val="00F47BAD"/>
    <w:rsid w:val="00F53B99"/>
    <w:rsid w:val="00F57237"/>
    <w:rsid w:val="00F626F0"/>
    <w:rsid w:val="00F95739"/>
    <w:rsid w:val="00FB00A2"/>
    <w:rsid w:val="00FC0256"/>
    <w:rsid w:val="00FC518D"/>
    <w:rsid w:val="00FC60EB"/>
    <w:rsid w:val="00FF1AF2"/>
    <w:rsid w:val="00FF5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30607"/>
  <w15:chartTrackingRefBased/>
  <w15:docId w15:val="{8A3FBF79-14CC-4A79-9E8F-1298CB67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3A"/>
    <w:pPr>
      <w:spacing w:after="160" w:line="259" w:lineRule="auto"/>
    </w:pPr>
    <w:rPr>
      <w:sz w:val="22"/>
      <w:szCs w:val="22"/>
      <w:lang w:eastAsia="en-US"/>
    </w:rPr>
  </w:style>
  <w:style w:type="paragraph" w:styleId="Heading1">
    <w:name w:val="heading 1"/>
    <w:aliases w:val="Heading 1 - Tender,Section Title,Heading 1.1,h1,C,1,Heading 1a,1.,Heading A,. (1.0),SP-Section,H1,l1,Tabs,heading 1,B1,Bullet 1,Main Heading,Heading1,H-1,h11,head 0,16 lft,-0,Chapter Heading,Chapter Heading1,Chapter Heading2,Chapter Heading3"/>
    <w:basedOn w:val="Normal"/>
    <w:next w:val="Normal"/>
    <w:link w:val="Heading1Char"/>
    <w:autoRedefine/>
    <w:uiPriority w:val="9"/>
    <w:qFormat/>
    <w:rsid w:val="000B7E6D"/>
    <w:pPr>
      <w:keepNext/>
      <w:keepLines/>
      <w:numPr>
        <w:numId w:val="40"/>
      </w:numPr>
      <w:spacing w:before="480" w:after="0" w:line="240" w:lineRule="auto"/>
      <w:outlineLvl w:val="0"/>
    </w:pPr>
    <w:rPr>
      <w:rFonts w:ascii="Arial Bold" w:eastAsiaTheme="majorEastAsia" w:hAnsi="Arial Bold" w:cstheme="majorBidi"/>
      <w:b/>
      <w:bCs/>
      <w:smallCaps/>
      <w:sz w:val="24"/>
      <w:szCs w:val="28"/>
    </w:rPr>
  </w:style>
  <w:style w:type="paragraph" w:styleId="Heading2">
    <w:name w:val="heading 2"/>
    <w:basedOn w:val="Normal"/>
    <w:next w:val="Normal"/>
    <w:link w:val="Heading2Char"/>
    <w:uiPriority w:val="9"/>
    <w:semiHidden/>
    <w:unhideWhenUsed/>
    <w:qFormat/>
    <w:rsid w:val="009A45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28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5A591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3A"/>
  </w:style>
  <w:style w:type="paragraph" w:styleId="Footer">
    <w:name w:val="footer"/>
    <w:basedOn w:val="Normal"/>
    <w:link w:val="FooterChar"/>
    <w:uiPriority w:val="99"/>
    <w:unhideWhenUsed/>
    <w:rsid w:val="00F36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F3A"/>
  </w:style>
  <w:style w:type="table" w:styleId="TableGrid">
    <w:name w:val="Table Grid"/>
    <w:basedOn w:val="TableNormal"/>
    <w:uiPriority w:val="39"/>
    <w:rsid w:val="000D6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D6F56"/>
    <w:rPr>
      <w:color w:val="0563C1"/>
      <w:u w:val="single"/>
    </w:rPr>
  </w:style>
  <w:style w:type="character" w:styleId="UnresolvedMention">
    <w:name w:val="Unresolved Mention"/>
    <w:uiPriority w:val="99"/>
    <w:semiHidden/>
    <w:unhideWhenUsed/>
    <w:rsid w:val="000D6F56"/>
    <w:rPr>
      <w:color w:val="605E5C"/>
      <w:shd w:val="clear" w:color="auto" w:fill="E1DFDD"/>
    </w:rPr>
  </w:style>
  <w:style w:type="paragraph" w:styleId="ListParagraph">
    <w:name w:val="List Paragraph"/>
    <w:aliases w:val="Heading 2 + List Paragraph,NFP GP Bulleted List"/>
    <w:basedOn w:val="Normal"/>
    <w:link w:val="ListParagraphChar"/>
    <w:uiPriority w:val="34"/>
    <w:qFormat/>
    <w:rsid w:val="000F6E74"/>
    <w:pPr>
      <w:ind w:left="720"/>
      <w:contextualSpacing/>
    </w:pPr>
  </w:style>
  <w:style w:type="character" w:styleId="PlaceholderText">
    <w:name w:val="Placeholder Text"/>
    <w:uiPriority w:val="99"/>
    <w:semiHidden/>
    <w:rsid w:val="004258B7"/>
    <w:rPr>
      <w:color w:val="808080"/>
    </w:rPr>
  </w:style>
  <w:style w:type="paragraph" w:styleId="Revision">
    <w:name w:val="Revision"/>
    <w:hidden/>
    <w:uiPriority w:val="99"/>
    <w:semiHidden/>
    <w:rsid w:val="008A5CAF"/>
    <w:rPr>
      <w:sz w:val="22"/>
      <w:szCs w:val="22"/>
      <w:lang w:eastAsia="en-US"/>
    </w:rPr>
  </w:style>
  <w:style w:type="character" w:customStyle="1" w:styleId="ListParagraphChar">
    <w:name w:val="List Paragraph Char"/>
    <w:aliases w:val="Heading 2 + List Paragraph Char,NFP GP Bulleted List Char"/>
    <w:basedOn w:val="DefaultParagraphFont"/>
    <w:link w:val="ListParagraph"/>
    <w:uiPriority w:val="34"/>
    <w:rsid w:val="004D2FB6"/>
    <w:rPr>
      <w:sz w:val="22"/>
      <w:szCs w:val="22"/>
      <w:lang w:eastAsia="en-US"/>
    </w:rPr>
  </w:style>
  <w:style w:type="paragraph" w:customStyle="1" w:styleId="Di2">
    <w:name w:val="Di 2"/>
    <w:basedOn w:val="Heading2"/>
    <w:link w:val="Di2Char"/>
    <w:autoRedefine/>
    <w:qFormat/>
    <w:rsid w:val="00E47CA8"/>
    <w:pPr>
      <w:keepLines w:val="0"/>
      <w:tabs>
        <w:tab w:val="left" w:pos="-720"/>
      </w:tabs>
      <w:spacing w:before="360" w:line="240" w:lineRule="auto"/>
      <w:jc w:val="both"/>
    </w:pPr>
    <w:rPr>
      <w:rFonts w:ascii="Arial" w:eastAsia="Times New Roman" w:hAnsi="Arial" w:cs="Arial"/>
      <w:b/>
      <w:bCs/>
      <w:smallCaps/>
      <w:color w:val="auto"/>
      <w:kern w:val="28"/>
      <w:sz w:val="24"/>
      <w:szCs w:val="24"/>
      <w:u w:val="single"/>
      <w:lang w:val="en-NZ"/>
    </w:rPr>
  </w:style>
  <w:style w:type="character" w:customStyle="1" w:styleId="Di2Char">
    <w:name w:val="Di 2 Char"/>
    <w:basedOn w:val="ListParagraphChar"/>
    <w:link w:val="Di2"/>
    <w:rsid w:val="00E47CA8"/>
    <w:rPr>
      <w:rFonts w:ascii="Arial" w:eastAsia="Times New Roman" w:hAnsi="Arial" w:cs="Arial"/>
      <w:b/>
      <w:bCs/>
      <w:smallCaps/>
      <w:kern w:val="28"/>
      <w:sz w:val="24"/>
      <w:szCs w:val="24"/>
      <w:u w:val="single"/>
      <w:lang w:val="en-NZ" w:eastAsia="en-US"/>
    </w:rPr>
  </w:style>
  <w:style w:type="character" w:customStyle="1" w:styleId="Heading2Char">
    <w:name w:val="Heading 2 Char"/>
    <w:basedOn w:val="DefaultParagraphFont"/>
    <w:link w:val="Heading2"/>
    <w:uiPriority w:val="9"/>
    <w:semiHidden/>
    <w:rsid w:val="009A458A"/>
    <w:rPr>
      <w:rFonts w:asciiTheme="majorHAnsi" w:eastAsiaTheme="majorEastAsia" w:hAnsiTheme="majorHAnsi" w:cstheme="majorBidi"/>
      <w:color w:val="2F5496" w:themeColor="accent1" w:themeShade="BF"/>
      <w:sz w:val="26"/>
      <w:szCs w:val="26"/>
      <w:lang w:eastAsia="en-US"/>
    </w:rPr>
  </w:style>
  <w:style w:type="character" w:customStyle="1" w:styleId="Heading1Char">
    <w:name w:val="Heading 1 Char"/>
    <w:aliases w:val="Heading 1 - Tender Char,Section Title Char,Heading 1.1 Char,h1 Char,C Char,1 Char,Heading 1a Char,1. Char,Heading A Char,. (1.0) Char,SP-Section Char,H1 Char,l1 Char,Tabs Char,heading 1 Char,B1 Char,Bullet 1 Char,Main Heading Char,-0 Char"/>
    <w:basedOn w:val="DefaultParagraphFont"/>
    <w:link w:val="Heading1"/>
    <w:uiPriority w:val="9"/>
    <w:rsid w:val="000B7E6D"/>
    <w:rPr>
      <w:rFonts w:ascii="Arial Bold" w:eastAsiaTheme="majorEastAsia" w:hAnsi="Arial Bold" w:cstheme="majorBidi"/>
      <w:b/>
      <w:bCs/>
      <w:smallCaps/>
      <w:sz w:val="24"/>
      <w:szCs w:val="28"/>
      <w:lang w:eastAsia="en-US"/>
    </w:rPr>
  </w:style>
  <w:style w:type="paragraph" w:customStyle="1" w:styleId="Style5">
    <w:name w:val="Style5"/>
    <w:basedOn w:val="Heading2"/>
    <w:link w:val="Style5Char"/>
    <w:qFormat/>
    <w:rsid w:val="009B456D"/>
    <w:pPr>
      <w:keepLines w:val="0"/>
      <w:numPr>
        <w:ilvl w:val="1"/>
        <w:numId w:val="16"/>
      </w:numPr>
      <w:spacing w:before="240" w:after="120" w:line="300" w:lineRule="atLeast"/>
    </w:pPr>
    <w:rPr>
      <w:rFonts w:ascii="Arial" w:eastAsia="Times New Roman" w:hAnsi="Arial" w:cstheme="majorHAnsi"/>
      <w:b/>
      <w:color w:val="auto"/>
      <w:sz w:val="20"/>
      <w:szCs w:val="20"/>
      <w:lang w:eastAsia="en-NZ"/>
    </w:rPr>
  </w:style>
  <w:style w:type="character" w:customStyle="1" w:styleId="Style5Char">
    <w:name w:val="Style5 Char"/>
    <w:basedOn w:val="DefaultParagraphFont"/>
    <w:link w:val="Style5"/>
    <w:rsid w:val="009B456D"/>
    <w:rPr>
      <w:rFonts w:ascii="Arial" w:eastAsia="Times New Roman" w:hAnsi="Arial" w:cstheme="majorHAnsi"/>
      <w:b/>
      <w:lang w:eastAsia="en-NZ"/>
    </w:rPr>
  </w:style>
  <w:style w:type="paragraph" w:customStyle="1" w:styleId="TableParagraph">
    <w:name w:val="Table Paragraph"/>
    <w:basedOn w:val="Normal"/>
    <w:uiPriority w:val="1"/>
    <w:qFormat/>
    <w:rsid w:val="009B456D"/>
    <w:pPr>
      <w:widowControl w:val="0"/>
      <w:autoSpaceDE w:val="0"/>
      <w:autoSpaceDN w:val="0"/>
      <w:spacing w:after="0" w:line="240" w:lineRule="auto"/>
    </w:pPr>
    <w:rPr>
      <w:rFonts w:cs="Calibri"/>
      <w:lang w:val="en-US"/>
    </w:rPr>
  </w:style>
  <w:style w:type="table" w:styleId="LightList-Accent6">
    <w:name w:val="Light List Accent 6"/>
    <w:basedOn w:val="TableNormal"/>
    <w:uiPriority w:val="61"/>
    <w:rsid w:val="009B456D"/>
    <w:rPr>
      <w:rFonts w:asciiTheme="minorHAnsi" w:eastAsia="Times New Roman" w:hAnsiTheme="minorHAnsi"/>
      <w:sz w:val="18"/>
      <w:szCs w:val="18"/>
      <w:lang w:val="en-NZ" w:eastAsia="en-NZ"/>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BodyGRCDocs">
    <w:name w:val=".Body GRC Docs"/>
    <w:basedOn w:val="Normal"/>
    <w:link w:val="BodyGRCDocsChar"/>
    <w:qFormat/>
    <w:rsid w:val="00DC41F3"/>
    <w:pPr>
      <w:spacing w:after="120" w:line="240" w:lineRule="auto"/>
    </w:pPr>
    <w:rPr>
      <w:rFonts w:eastAsia="Times New Roman" w:cs="Arial"/>
    </w:rPr>
  </w:style>
  <w:style w:type="character" w:customStyle="1" w:styleId="BodyGRCDocsChar">
    <w:name w:val=".Body GRC Docs Char"/>
    <w:link w:val="BodyGRCDocs"/>
    <w:rsid w:val="00DC41F3"/>
    <w:rPr>
      <w:rFonts w:eastAsia="Times New Roman" w:cs="Arial"/>
      <w:sz w:val="22"/>
      <w:szCs w:val="22"/>
      <w:lang w:eastAsia="en-US"/>
    </w:rPr>
  </w:style>
  <w:style w:type="character" w:styleId="CommentReference">
    <w:name w:val="annotation reference"/>
    <w:basedOn w:val="DefaultParagraphFont"/>
    <w:uiPriority w:val="99"/>
    <w:semiHidden/>
    <w:unhideWhenUsed/>
    <w:rsid w:val="00E53822"/>
    <w:rPr>
      <w:sz w:val="16"/>
      <w:szCs w:val="16"/>
    </w:rPr>
  </w:style>
  <w:style w:type="paragraph" w:styleId="CommentText">
    <w:name w:val="annotation text"/>
    <w:basedOn w:val="Normal"/>
    <w:link w:val="CommentTextChar"/>
    <w:uiPriority w:val="99"/>
    <w:unhideWhenUsed/>
    <w:rsid w:val="00E53822"/>
    <w:pPr>
      <w:spacing w:line="240" w:lineRule="auto"/>
    </w:pPr>
    <w:rPr>
      <w:sz w:val="20"/>
      <w:szCs w:val="20"/>
    </w:rPr>
  </w:style>
  <w:style w:type="character" w:customStyle="1" w:styleId="CommentTextChar">
    <w:name w:val="Comment Text Char"/>
    <w:basedOn w:val="DefaultParagraphFont"/>
    <w:link w:val="CommentText"/>
    <w:uiPriority w:val="99"/>
    <w:rsid w:val="00E53822"/>
    <w:rPr>
      <w:lang w:eastAsia="en-US"/>
    </w:rPr>
  </w:style>
  <w:style w:type="paragraph" w:styleId="CommentSubject">
    <w:name w:val="annotation subject"/>
    <w:basedOn w:val="CommentText"/>
    <w:next w:val="CommentText"/>
    <w:link w:val="CommentSubjectChar"/>
    <w:uiPriority w:val="99"/>
    <w:semiHidden/>
    <w:unhideWhenUsed/>
    <w:rsid w:val="00E53822"/>
    <w:rPr>
      <w:b/>
      <w:bCs/>
    </w:rPr>
  </w:style>
  <w:style w:type="character" w:customStyle="1" w:styleId="CommentSubjectChar">
    <w:name w:val="Comment Subject Char"/>
    <w:basedOn w:val="CommentTextChar"/>
    <w:link w:val="CommentSubject"/>
    <w:uiPriority w:val="99"/>
    <w:semiHidden/>
    <w:rsid w:val="00E53822"/>
    <w:rPr>
      <w:b/>
      <w:bCs/>
      <w:lang w:eastAsia="en-US"/>
    </w:rPr>
  </w:style>
  <w:style w:type="character" w:styleId="Strong">
    <w:name w:val="Strong"/>
    <w:basedOn w:val="DefaultParagraphFont"/>
    <w:unhideWhenUsed/>
    <w:qFormat/>
    <w:rsid w:val="007F340E"/>
    <w:rPr>
      <w:rFonts w:ascii="Inter Bold" w:hAnsi="Inter Bold"/>
      <w:bCs/>
      <w:iCs/>
      <w:color w:val="000000" w:themeColor="text1"/>
      <w:sz w:val="18"/>
      <w:lang w:val="en-AU"/>
    </w:rPr>
  </w:style>
  <w:style w:type="table" w:customStyle="1" w:styleId="SMECTableDocumentControl">
    <w:name w:val="SMEC Table Document Control"/>
    <w:basedOn w:val="TableNormal"/>
    <w:uiPriority w:val="99"/>
    <w:rsid w:val="007F340E"/>
    <w:rPr>
      <w:rFonts w:ascii="Inter" w:eastAsia="Times New Roman" w:hAnsi="Inter" w:cstheme="minorHAnsi"/>
      <w:sz w:val="18"/>
      <w:lang w:val="en-NZ" w:eastAsia="en-US"/>
    </w:rPr>
    <w:tblPr>
      <w:tblBorders>
        <w:insideH w:val="single" w:sz="6" w:space="0" w:color="FFFFFF"/>
      </w:tblBorders>
    </w:tblPr>
    <w:tcPr>
      <w:shd w:val="clear" w:color="auto" w:fill="E6E9EC"/>
    </w:tcPr>
    <w:tblStylePr w:type="firstRow">
      <w:rPr>
        <w:rFonts w:ascii="Inter" w:hAnsi="Inter"/>
      </w:rPr>
    </w:tblStylePr>
    <w:tblStylePr w:type="firstCol">
      <w:rPr>
        <w:rFonts w:ascii="Inter Semi Bold" w:hAnsi="Inter Semi Bold"/>
        <w:color w:val="FFFFFF" w:themeColor="background1"/>
        <w:sz w:val="18"/>
      </w:rPr>
      <w:tblPr/>
      <w:tcPr>
        <w:tcBorders>
          <w:insideH w:val="single" w:sz="6" w:space="0" w:color="FFFFFF"/>
        </w:tcBorders>
        <w:shd w:val="clear" w:color="auto" w:fill="0A2240"/>
      </w:tcPr>
    </w:tblStylePr>
  </w:style>
  <w:style w:type="paragraph" w:customStyle="1" w:styleId="TableText">
    <w:name w:val="Table Text"/>
    <w:basedOn w:val="Normal"/>
    <w:qFormat/>
    <w:rsid w:val="007F340E"/>
    <w:pPr>
      <w:spacing w:line="260" w:lineRule="atLeast"/>
    </w:pPr>
    <w:rPr>
      <w:rFonts w:asciiTheme="minorHAnsi" w:eastAsia="Times New Roman" w:hAnsiTheme="minorHAnsi" w:cstheme="minorHAnsi"/>
      <w:color w:val="32425E"/>
      <w:sz w:val="18"/>
      <w:szCs w:val="20"/>
    </w:rPr>
  </w:style>
  <w:style w:type="paragraph" w:customStyle="1" w:styleId="TableHeader">
    <w:name w:val="Table Header"/>
    <w:basedOn w:val="TableText"/>
    <w:qFormat/>
    <w:rsid w:val="007F340E"/>
    <w:rPr>
      <w:rFonts w:ascii="Inter Bold" w:hAnsi="Inter Bold"/>
      <w:color w:val="E7E6E6" w:themeColor="background2"/>
    </w:rPr>
  </w:style>
  <w:style w:type="paragraph" w:styleId="Caption">
    <w:name w:val="caption"/>
    <w:aliases w:val="Caption Table,Caption Figure,Figure Caption,Caption Char + Right,Caption Char1 Char,Caption Char Char Char,Caption Char1 Char Char Char,Caption Char Char Char Char Char,Caption Char1 Char Char Char Char Char"/>
    <w:basedOn w:val="Normal"/>
    <w:next w:val="Normal"/>
    <w:link w:val="CaptionChar"/>
    <w:qFormat/>
    <w:rsid w:val="008B5DC1"/>
    <w:pPr>
      <w:keepLines/>
      <w:tabs>
        <w:tab w:val="left" w:pos="1134"/>
      </w:tabs>
      <w:spacing w:before="360" w:after="80" w:line="240" w:lineRule="auto"/>
    </w:pPr>
    <w:rPr>
      <w:rFonts w:asciiTheme="minorHAnsi" w:eastAsia="Times New Roman" w:hAnsiTheme="minorHAnsi" w:cstheme="minorHAnsi"/>
      <w:bCs/>
      <w:color w:val="32425E"/>
      <w:sz w:val="14"/>
      <w:szCs w:val="18"/>
    </w:rPr>
  </w:style>
  <w:style w:type="character" w:customStyle="1" w:styleId="CaptionChar">
    <w:name w:val="Caption Char"/>
    <w:aliases w:val="Caption Table Char,Caption Figure Char,Figure Caption Char,Caption Char + Right Char,Caption Char1 Char Char,Caption Char Char Char Char,Caption Char1 Char Char Char Char,Caption Char Char Char Char Char Char"/>
    <w:basedOn w:val="DefaultParagraphFont"/>
    <w:link w:val="Caption"/>
    <w:rsid w:val="008B5DC1"/>
    <w:rPr>
      <w:rFonts w:asciiTheme="minorHAnsi" w:eastAsia="Times New Roman" w:hAnsiTheme="minorHAnsi" w:cstheme="minorHAnsi"/>
      <w:bCs/>
      <w:color w:val="32425E"/>
      <w:sz w:val="14"/>
      <w:szCs w:val="18"/>
      <w:lang w:eastAsia="en-US"/>
    </w:rPr>
  </w:style>
  <w:style w:type="table" w:customStyle="1" w:styleId="SMECTable42">
    <w:name w:val="SMEC Table 42"/>
    <w:basedOn w:val="TableNormal"/>
    <w:uiPriority w:val="99"/>
    <w:rsid w:val="008B5DC1"/>
    <w:rPr>
      <w:rFonts w:ascii="Inter" w:eastAsia="Times New Roman" w:hAnsi="Inter" w:cstheme="minorHAnsi"/>
      <w:color w:val="000000" w:themeColor="text1"/>
      <w:sz w:val="18"/>
      <w:lang w:val="en-NZ" w:eastAsia="en-US"/>
    </w:rPr>
    <w:tblPr>
      <w:tblBorders>
        <w:insideH w:val="single" w:sz="4" w:space="0" w:color="FFFFFF" w:themeColor="background1"/>
        <w:insideV w:val="single" w:sz="4" w:space="0" w:color="FFFFFF" w:themeColor="background1"/>
      </w:tblBorders>
    </w:tblPr>
    <w:tcPr>
      <w:shd w:val="clear" w:color="auto" w:fill="E6E9EC"/>
    </w:tcPr>
    <w:tblStylePr w:type="firstRow">
      <w:rPr>
        <w:rFonts w:ascii="Inter Semi Bold" w:hAnsi="Inter Semi Bold"/>
        <w:sz w:val="18"/>
      </w:rPr>
      <w:tblPr/>
      <w:tcPr>
        <w:tcBorders>
          <w:insideV w:val="single" w:sz="4" w:space="0" w:color="FFFFFF" w:themeColor="background1"/>
        </w:tcBorders>
        <w:shd w:val="clear" w:color="auto" w:fill="000000" w:themeFill="text1"/>
      </w:tcPr>
    </w:tblStylePr>
    <w:tblStylePr w:type="firstCol">
      <w:rPr>
        <w:rFonts w:ascii="Inter" w:hAnsi="Inter"/>
        <w:sz w:val="18"/>
      </w:rPr>
    </w:tblStylePr>
  </w:style>
  <w:style w:type="table" w:styleId="GridTable4-Accent1">
    <w:name w:val="Grid Table 4 Accent 1"/>
    <w:basedOn w:val="TableNormal"/>
    <w:uiPriority w:val="49"/>
    <w:rsid w:val="00693DB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693DB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072844"/>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5A5917"/>
    <w:rPr>
      <w:rFonts w:asciiTheme="majorHAnsi" w:eastAsiaTheme="majorEastAsia" w:hAnsiTheme="majorHAnsi" w:cstheme="majorBidi"/>
      <w:i/>
      <w:iCs/>
      <w:color w:val="1F3763" w:themeColor="accent1" w:themeShade="7F"/>
      <w:sz w:val="22"/>
      <w:szCs w:val="22"/>
      <w:lang w:eastAsia="en-US"/>
    </w:rPr>
  </w:style>
  <w:style w:type="paragraph" w:styleId="ListBullet">
    <w:name w:val="List Bullet"/>
    <w:basedOn w:val="Normal"/>
    <w:autoRedefine/>
    <w:uiPriority w:val="2"/>
    <w:semiHidden/>
    <w:unhideWhenUsed/>
    <w:qFormat/>
    <w:rsid w:val="00BA2F9E"/>
    <w:pPr>
      <w:numPr>
        <w:numId w:val="42"/>
      </w:numPr>
      <w:spacing w:line="260" w:lineRule="atLeast"/>
    </w:pPr>
    <w:rPr>
      <w:rFonts w:asciiTheme="minorHAnsi" w:eastAsia="Times New Roman" w:hAnsiTheme="minorHAnsi" w:cs="Inter (Body)"/>
      <w:color w:val="32425E"/>
      <w:sz w:val="18"/>
      <w:szCs w:val="21"/>
      <w:lang w:eastAsia="en-NZ"/>
    </w:rPr>
  </w:style>
  <w:style w:type="table" w:customStyle="1" w:styleId="SMECTable411">
    <w:name w:val="SMEC Table 411"/>
    <w:basedOn w:val="TableNormal"/>
    <w:uiPriority w:val="99"/>
    <w:rsid w:val="00BA2F9E"/>
    <w:rPr>
      <w:rFonts w:ascii="Inter" w:eastAsia="Times New Roman" w:hAnsi="Inter" w:cstheme="minorHAnsi"/>
      <w:color w:val="000000" w:themeColor="text1"/>
      <w:sz w:val="18"/>
      <w:lang w:val="en-NZ" w:eastAsia="en-US"/>
    </w:rPr>
    <w:tblPr>
      <w:tblInd w:w="0" w:type="nil"/>
      <w:tblBorders>
        <w:insideH w:val="single" w:sz="4" w:space="0" w:color="FFFFFF" w:themeColor="background1"/>
        <w:insideV w:val="single" w:sz="4" w:space="0" w:color="FFFFFF" w:themeColor="background1"/>
      </w:tblBorders>
    </w:tblPr>
    <w:tcPr>
      <w:shd w:val="clear" w:color="auto" w:fill="E6E9EC"/>
    </w:tcPr>
    <w:tblStylePr w:type="firstRow">
      <w:rPr>
        <w:rFonts w:ascii="Inter Bold" w:hAnsi="Inter Bold" w:hint="default"/>
        <w:sz w:val="18"/>
        <w:szCs w:val="18"/>
      </w:rPr>
      <w:tblPr/>
      <w:tcPr>
        <w:tcBorders>
          <w:insideV w:val="single" w:sz="4" w:space="0" w:color="FFFFFF" w:themeColor="background1"/>
        </w:tcBorders>
        <w:shd w:val="clear" w:color="auto" w:fill="000000" w:themeFill="text1"/>
      </w:tcPr>
    </w:tblStylePr>
    <w:tblStylePr w:type="firstCol">
      <w:rPr>
        <w:rFonts w:ascii="Inter" w:hAnsi="Inter" w:hint="default"/>
        <w:sz w:val="18"/>
        <w:szCs w:val="1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96056">
      <w:bodyDiv w:val="1"/>
      <w:marLeft w:val="0"/>
      <w:marRight w:val="0"/>
      <w:marTop w:val="0"/>
      <w:marBottom w:val="0"/>
      <w:divBdr>
        <w:top w:val="none" w:sz="0" w:space="0" w:color="auto"/>
        <w:left w:val="none" w:sz="0" w:space="0" w:color="auto"/>
        <w:bottom w:val="none" w:sz="0" w:space="0" w:color="auto"/>
        <w:right w:val="none" w:sz="0" w:space="0" w:color="auto"/>
      </w:divBdr>
    </w:div>
    <w:div w:id="617879791">
      <w:bodyDiv w:val="1"/>
      <w:marLeft w:val="0"/>
      <w:marRight w:val="0"/>
      <w:marTop w:val="0"/>
      <w:marBottom w:val="0"/>
      <w:divBdr>
        <w:top w:val="none" w:sz="0" w:space="0" w:color="auto"/>
        <w:left w:val="none" w:sz="0" w:space="0" w:color="auto"/>
        <w:bottom w:val="none" w:sz="0" w:space="0" w:color="auto"/>
        <w:right w:val="none" w:sz="0" w:space="0" w:color="auto"/>
      </w:divBdr>
    </w:div>
    <w:div w:id="878473939">
      <w:bodyDiv w:val="1"/>
      <w:marLeft w:val="0"/>
      <w:marRight w:val="0"/>
      <w:marTop w:val="0"/>
      <w:marBottom w:val="0"/>
      <w:divBdr>
        <w:top w:val="none" w:sz="0" w:space="0" w:color="auto"/>
        <w:left w:val="none" w:sz="0" w:space="0" w:color="auto"/>
        <w:bottom w:val="none" w:sz="0" w:space="0" w:color="auto"/>
        <w:right w:val="none" w:sz="0" w:space="0" w:color="auto"/>
      </w:divBdr>
    </w:div>
    <w:div w:id="913125419">
      <w:bodyDiv w:val="1"/>
      <w:marLeft w:val="0"/>
      <w:marRight w:val="0"/>
      <w:marTop w:val="0"/>
      <w:marBottom w:val="0"/>
      <w:divBdr>
        <w:top w:val="none" w:sz="0" w:space="0" w:color="auto"/>
        <w:left w:val="none" w:sz="0" w:space="0" w:color="auto"/>
        <w:bottom w:val="none" w:sz="0" w:space="0" w:color="auto"/>
        <w:right w:val="none" w:sz="0" w:space="0" w:color="auto"/>
      </w:divBdr>
    </w:div>
    <w:div w:id="1047415002">
      <w:bodyDiv w:val="1"/>
      <w:marLeft w:val="0"/>
      <w:marRight w:val="0"/>
      <w:marTop w:val="0"/>
      <w:marBottom w:val="0"/>
      <w:divBdr>
        <w:top w:val="none" w:sz="0" w:space="0" w:color="auto"/>
        <w:left w:val="none" w:sz="0" w:space="0" w:color="auto"/>
        <w:bottom w:val="none" w:sz="0" w:space="0" w:color="auto"/>
        <w:right w:val="none" w:sz="0" w:space="0" w:color="auto"/>
      </w:divBdr>
    </w:div>
    <w:div w:id="1086339379">
      <w:bodyDiv w:val="1"/>
      <w:marLeft w:val="0"/>
      <w:marRight w:val="0"/>
      <w:marTop w:val="0"/>
      <w:marBottom w:val="0"/>
      <w:divBdr>
        <w:top w:val="none" w:sz="0" w:space="0" w:color="auto"/>
        <w:left w:val="none" w:sz="0" w:space="0" w:color="auto"/>
        <w:bottom w:val="none" w:sz="0" w:space="0" w:color="auto"/>
        <w:right w:val="none" w:sz="0" w:space="0" w:color="auto"/>
      </w:divBdr>
    </w:div>
    <w:div w:id="1113206277">
      <w:bodyDiv w:val="1"/>
      <w:marLeft w:val="0"/>
      <w:marRight w:val="0"/>
      <w:marTop w:val="0"/>
      <w:marBottom w:val="0"/>
      <w:divBdr>
        <w:top w:val="none" w:sz="0" w:space="0" w:color="auto"/>
        <w:left w:val="none" w:sz="0" w:space="0" w:color="auto"/>
        <w:bottom w:val="none" w:sz="0" w:space="0" w:color="auto"/>
        <w:right w:val="none" w:sz="0" w:space="0" w:color="auto"/>
      </w:divBdr>
    </w:div>
    <w:div w:id="1213809979">
      <w:bodyDiv w:val="1"/>
      <w:marLeft w:val="0"/>
      <w:marRight w:val="0"/>
      <w:marTop w:val="0"/>
      <w:marBottom w:val="0"/>
      <w:divBdr>
        <w:top w:val="none" w:sz="0" w:space="0" w:color="auto"/>
        <w:left w:val="none" w:sz="0" w:space="0" w:color="auto"/>
        <w:bottom w:val="none" w:sz="0" w:space="0" w:color="auto"/>
        <w:right w:val="none" w:sz="0" w:space="0" w:color="auto"/>
      </w:divBdr>
    </w:div>
    <w:div w:id="1215973129">
      <w:bodyDiv w:val="1"/>
      <w:marLeft w:val="0"/>
      <w:marRight w:val="0"/>
      <w:marTop w:val="0"/>
      <w:marBottom w:val="0"/>
      <w:divBdr>
        <w:top w:val="none" w:sz="0" w:space="0" w:color="auto"/>
        <w:left w:val="none" w:sz="0" w:space="0" w:color="auto"/>
        <w:bottom w:val="none" w:sz="0" w:space="0" w:color="auto"/>
        <w:right w:val="none" w:sz="0" w:space="0" w:color="auto"/>
      </w:divBdr>
    </w:div>
    <w:div w:id="1297687957">
      <w:bodyDiv w:val="1"/>
      <w:marLeft w:val="0"/>
      <w:marRight w:val="0"/>
      <w:marTop w:val="0"/>
      <w:marBottom w:val="0"/>
      <w:divBdr>
        <w:top w:val="none" w:sz="0" w:space="0" w:color="auto"/>
        <w:left w:val="none" w:sz="0" w:space="0" w:color="auto"/>
        <w:bottom w:val="none" w:sz="0" w:space="0" w:color="auto"/>
        <w:right w:val="none" w:sz="0" w:space="0" w:color="auto"/>
      </w:divBdr>
    </w:div>
    <w:div w:id="1326207682">
      <w:bodyDiv w:val="1"/>
      <w:marLeft w:val="0"/>
      <w:marRight w:val="0"/>
      <w:marTop w:val="0"/>
      <w:marBottom w:val="0"/>
      <w:divBdr>
        <w:top w:val="none" w:sz="0" w:space="0" w:color="auto"/>
        <w:left w:val="none" w:sz="0" w:space="0" w:color="auto"/>
        <w:bottom w:val="none" w:sz="0" w:space="0" w:color="auto"/>
        <w:right w:val="none" w:sz="0" w:space="0" w:color="auto"/>
      </w:divBdr>
    </w:div>
    <w:div w:id="1493986393">
      <w:bodyDiv w:val="1"/>
      <w:marLeft w:val="0"/>
      <w:marRight w:val="0"/>
      <w:marTop w:val="0"/>
      <w:marBottom w:val="0"/>
      <w:divBdr>
        <w:top w:val="none" w:sz="0" w:space="0" w:color="auto"/>
        <w:left w:val="none" w:sz="0" w:space="0" w:color="auto"/>
        <w:bottom w:val="none" w:sz="0" w:space="0" w:color="auto"/>
        <w:right w:val="none" w:sz="0" w:space="0" w:color="auto"/>
      </w:divBdr>
    </w:div>
    <w:div w:id="1582832971">
      <w:bodyDiv w:val="1"/>
      <w:marLeft w:val="0"/>
      <w:marRight w:val="0"/>
      <w:marTop w:val="0"/>
      <w:marBottom w:val="0"/>
      <w:divBdr>
        <w:top w:val="none" w:sz="0" w:space="0" w:color="auto"/>
        <w:left w:val="none" w:sz="0" w:space="0" w:color="auto"/>
        <w:bottom w:val="none" w:sz="0" w:space="0" w:color="auto"/>
        <w:right w:val="none" w:sz="0" w:space="0" w:color="auto"/>
      </w:divBdr>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
    <w:div w:id="1763066824">
      <w:bodyDiv w:val="1"/>
      <w:marLeft w:val="0"/>
      <w:marRight w:val="0"/>
      <w:marTop w:val="0"/>
      <w:marBottom w:val="0"/>
      <w:divBdr>
        <w:top w:val="none" w:sz="0" w:space="0" w:color="auto"/>
        <w:left w:val="none" w:sz="0" w:space="0" w:color="auto"/>
        <w:bottom w:val="none" w:sz="0" w:space="0" w:color="auto"/>
        <w:right w:val="none" w:sz="0" w:space="0" w:color="auto"/>
      </w:divBdr>
    </w:div>
    <w:div w:id="2030912781">
      <w:bodyDiv w:val="1"/>
      <w:marLeft w:val="0"/>
      <w:marRight w:val="0"/>
      <w:marTop w:val="0"/>
      <w:marBottom w:val="0"/>
      <w:divBdr>
        <w:top w:val="none" w:sz="0" w:space="0" w:color="auto"/>
        <w:left w:val="none" w:sz="0" w:space="0" w:color="auto"/>
        <w:bottom w:val="none" w:sz="0" w:space="0" w:color="auto"/>
        <w:right w:val="none" w:sz="0" w:space="0" w:color="auto"/>
      </w:divBdr>
    </w:div>
    <w:div w:id="20834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anana.qld.gov.au/" TargetMode="External"/><Relationship Id="rId2" Type="http://schemas.openxmlformats.org/officeDocument/2006/relationships/hyperlink" Target="mailto:enquiries@banana.qld.gov.a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bscdw04:8081/Quality%20System/CCS%20-%20Corporate%20and%20Community/PR%20-%20Procurement/03%20Procurement%20Procedures%20and%20Templates/CCS-PR-03-023%20Request%20for%20Quot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0625C-7DD4-4365-84DB-E83E21B3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CCS-PR-03-023%20Request%20for%20Quote%20Form.dot</Template>
  <TotalTime>311</TotalTime>
  <Pages>7</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Links>
    <vt:vector size="18" baseType="variant">
      <vt:variant>
        <vt:i4>6160492</vt:i4>
      </vt:variant>
      <vt:variant>
        <vt:i4>0</vt:i4>
      </vt:variant>
      <vt:variant>
        <vt:i4>0</vt:i4>
      </vt:variant>
      <vt:variant>
        <vt:i4>5</vt:i4>
      </vt:variant>
      <vt:variant>
        <vt:lpwstr>mailto:quotations@banana.qld.gov.au</vt:lpwstr>
      </vt:variant>
      <vt:variant>
        <vt:lpwstr/>
      </vt:variant>
      <vt:variant>
        <vt:i4>1114196</vt:i4>
      </vt:variant>
      <vt:variant>
        <vt:i4>3</vt:i4>
      </vt:variant>
      <vt:variant>
        <vt:i4>0</vt:i4>
      </vt:variant>
      <vt:variant>
        <vt:i4>5</vt:i4>
      </vt:variant>
      <vt:variant>
        <vt:lpwstr>http://www.banana.qld.gov.au/</vt:lpwstr>
      </vt:variant>
      <vt:variant>
        <vt:lpwstr/>
      </vt:variant>
      <vt:variant>
        <vt:i4>4128770</vt:i4>
      </vt:variant>
      <vt:variant>
        <vt:i4>0</vt:i4>
      </vt:variant>
      <vt:variant>
        <vt:i4>0</vt:i4>
      </vt:variant>
      <vt:variant>
        <vt:i4>5</vt:i4>
      </vt:variant>
      <vt:variant>
        <vt:lpwstr>mailto:enquiries@banana.qld.gov.au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Mergard, James</dc:creator>
  <cp:keywords/>
  <dc:description/>
  <cp:lastModifiedBy>Ashu Gupta</cp:lastModifiedBy>
  <cp:revision>36</cp:revision>
  <cp:lastPrinted>2023-08-24T23:38:00Z</cp:lastPrinted>
  <dcterms:created xsi:type="dcterms:W3CDTF">2024-03-15T03:00:00Z</dcterms:created>
  <dcterms:modified xsi:type="dcterms:W3CDTF">2024-03-24T23:36:00Z</dcterms:modified>
</cp:coreProperties>
</file>