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877CA" w14:textId="04CD6019" w:rsidR="00FB29AD" w:rsidRDefault="00055807">
      <w:pPr>
        <w:rPr>
          <w:sz w:val="24"/>
          <w:szCs w:val="24"/>
        </w:rPr>
      </w:pPr>
      <w:r w:rsidRPr="00055807">
        <w:rPr>
          <w:sz w:val="24"/>
          <w:szCs w:val="24"/>
        </w:rPr>
        <w:t xml:space="preserve">Question: </w:t>
      </w:r>
      <w:r w:rsidRPr="00055807">
        <w:rPr>
          <w:sz w:val="24"/>
          <w:szCs w:val="24"/>
        </w:rPr>
        <w:t>Can you confirm that the current RFQ document is the correct one for this project?</w:t>
      </w:r>
    </w:p>
    <w:p w14:paraId="75455950" w14:textId="3ED92CD4" w:rsidR="00055807" w:rsidRDefault="00055807">
      <w:pPr>
        <w:rPr>
          <w:sz w:val="24"/>
          <w:szCs w:val="24"/>
        </w:rPr>
      </w:pPr>
      <w:r w:rsidRPr="00055807">
        <w:rPr>
          <w:sz w:val="24"/>
          <w:szCs w:val="24"/>
        </w:rPr>
        <w:t>• Scope of Works – incorrect</w:t>
      </w:r>
      <w:r w:rsidRPr="00055807">
        <w:rPr>
          <w:sz w:val="24"/>
          <w:szCs w:val="24"/>
        </w:rPr>
        <w:br/>
      </w:r>
      <w:r w:rsidRPr="00055807">
        <w:rPr>
          <w:sz w:val="24"/>
          <w:szCs w:val="24"/>
        </w:rPr>
        <w:br/>
        <w:t>• QRA Treatment Guide 2020-21 – incorrect?</w:t>
      </w:r>
      <w:r w:rsidRPr="00055807">
        <w:rPr>
          <w:sz w:val="24"/>
          <w:szCs w:val="24"/>
        </w:rPr>
        <w:br/>
      </w:r>
      <w:r w:rsidRPr="00055807">
        <w:rPr>
          <w:sz w:val="24"/>
          <w:szCs w:val="24"/>
        </w:rPr>
        <w:br/>
        <w:t>• Technical Specification – incorrect?</w:t>
      </w:r>
    </w:p>
    <w:p w14:paraId="0C5EEDCD" w14:textId="0A92D588" w:rsidR="00055807" w:rsidRPr="00055807" w:rsidRDefault="00055807" w:rsidP="00055807">
      <w:pPr>
        <w:rPr>
          <w:color w:val="156082" w:themeColor="accent1"/>
        </w:rPr>
      </w:pPr>
      <w:r w:rsidRPr="00055807">
        <w:rPr>
          <w:color w:val="156082" w:themeColor="accent1"/>
          <w:sz w:val="24"/>
          <w:szCs w:val="24"/>
        </w:rPr>
        <w:t xml:space="preserve">Response: </w:t>
      </w:r>
    </w:p>
    <w:p w14:paraId="30D578A9" w14:textId="77777777" w:rsidR="00055807" w:rsidRPr="00055807" w:rsidRDefault="00055807" w:rsidP="00055807">
      <w:pPr>
        <w:pStyle w:val="ListParagraph"/>
        <w:numPr>
          <w:ilvl w:val="0"/>
          <w:numId w:val="1"/>
        </w:numPr>
        <w:rPr>
          <w:color w:val="156082" w:themeColor="accent1"/>
          <w:sz w:val="24"/>
          <w:szCs w:val="24"/>
        </w:rPr>
      </w:pPr>
      <w:r w:rsidRPr="00055807">
        <w:rPr>
          <w:color w:val="156082" w:themeColor="accent1"/>
          <w:sz w:val="24"/>
          <w:szCs w:val="24"/>
        </w:rPr>
        <w:t>Scope of works document revised and uploaded (Revision 4) - Section 2 Scope of Works</w:t>
      </w:r>
    </w:p>
    <w:p w14:paraId="6F2CDEE7" w14:textId="77777777" w:rsidR="00055807" w:rsidRPr="00055807" w:rsidRDefault="00055807" w:rsidP="00055807">
      <w:pPr>
        <w:pStyle w:val="ListParagraph"/>
        <w:numPr>
          <w:ilvl w:val="0"/>
          <w:numId w:val="1"/>
        </w:numPr>
        <w:rPr>
          <w:color w:val="156082" w:themeColor="accent1"/>
          <w:sz w:val="24"/>
          <w:szCs w:val="24"/>
        </w:rPr>
      </w:pPr>
      <w:r w:rsidRPr="00055807">
        <w:rPr>
          <w:color w:val="156082" w:themeColor="accent1"/>
          <w:sz w:val="24"/>
          <w:szCs w:val="24"/>
        </w:rPr>
        <w:t>Price Schedule revision 3 had this reference removed from 4.02, Treatment Guide not included in provided documents.</w:t>
      </w:r>
    </w:p>
    <w:p w14:paraId="07F9A593" w14:textId="0333A425" w:rsidR="00055807" w:rsidRPr="00055807" w:rsidRDefault="00055807" w:rsidP="00055807">
      <w:pPr>
        <w:pStyle w:val="ListParagraph"/>
        <w:numPr>
          <w:ilvl w:val="0"/>
          <w:numId w:val="1"/>
        </w:numPr>
        <w:rPr>
          <w:color w:val="156082" w:themeColor="accent1"/>
          <w:sz w:val="24"/>
          <w:szCs w:val="24"/>
        </w:rPr>
      </w:pPr>
      <w:r w:rsidRPr="00055807">
        <w:rPr>
          <w:color w:val="156082" w:themeColor="accent1"/>
          <w:sz w:val="24"/>
          <w:szCs w:val="24"/>
        </w:rPr>
        <w:t>Technical specification document revised and uploaded (Revision 4) – T2425.30 – Don Riverbank – App E – TECHNICAL SPECIFICATION</w:t>
      </w:r>
    </w:p>
    <w:p w14:paraId="1C550F8B" w14:textId="53DA2585" w:rsidR="00055807" w:rsidRDefault="00055807">
      <w:pPr>
        <w:rPr>
          <w:sz w:val="24"/>
          <w:szCs w:val="24"/>
        </w:rPr>
      </w:pPr>
      <w:r>
        <w:rPr>
          <w:sz w:val="24"/>
          <w:szCs w:val="24"/>
        </w:rPr>
        <w:t xml:space="preserve">Question: </w:t>
      </w:r>
      <w:r w:rsidRPr="00055807">
        <w:rPr>
          <w:sz w:val="24"/>
          <w:szCs w:val="24"/>
        </w:rPr>
        <w:t>For Options 5 &amp; 6 contained in the Geotech report, have BSC lodged and received all the necessary approvals. If so, please provide copies.</w:t>
      </w:r>
    </w:p>
    <w:p w14:paraId="2314672D" w14:textId="77777777" w:rsidR="00055807" w:rsidRPr="00055807" w:rsidRDefault="00055807" w:rsidP="00055807">
      <w:pPr>
        <w:rPr>
          <w:color w:val="156082" w:themeColor="accent1"/>
          <w:sz w:val="24"/>
          <w:szCs w:val="24"/>
        </w:rPr>
      </w:pPr>
      <w:r>
        <w:rPr>
          <w:sz w:val="24"/>
          <w:szCs w:val="24"/>
        </w:rPr>
        <w:t xml:space="preserve">Response: </w:t>
      </w:r>
      <w:r w:rsidRPr="00055807">
        <w:rPr>
          <w:color w:val="156082" w:themeColor="accent1"/>
          <w:sz w:val="24"/>
          <w:szCs w:val="24"/>
        </w:rPr>
        <w:t>There are certain exemptions to the waterway barrier works requirements - as is detailed in the link below.  </w:t>
      </w:r>
    </w:p>
    <w:p w14:paraId="60C6EAC3" w14:textId="77777777" w:rsidR="00055807" w:rsidRPr="00055807" w:rsidRDefault="00055807" w:rsidP="00055807">
      <w:pPr>
        <w:rPr>
          <w:color w:val="156082" w:themeColor="accent1"/>
          <w:sz w:val="24"/>
          <w:szCs w:val="24"/>
        </w:rPr>
      </w:pPr>
      <w:r w:rsidRPr="00055807">
        <w:rPr>
          <w:color w:val="156082" w:themeColor="accent1"/>
          <w:sz w:val="24"/>
          <w:szCs w:val="24"/>
        </w:rPr>
        <w:t xml:space="preserve">  </w:t>
      </w:r>
      <w:hyperlink r:id="rId5" w:history="1">
        <w:r w:rsidRPr="00055807">
          <w:rPr>
            <w:rStyle w:val="Hyperlink"/>
            <w:color w:val="156082" w:themeColor="accent1"/>
            <w:sz w:val="24"/>
            <w:szCs w:val="24"/>
          </w:rPr>
          <w:t>https://www.business.qld.gov.au/industries/farms-fishing-forestry/fisheries/development/waterways/barriers</w:t>
        </w:r>
      </w:hyperlink>
    </w:p>
    <w:p w14:paraId="4A2912A8" w14:textId="77777777" w:rsidR="00055807" w:rsidRPr="00055807" w:rsidRDefault="00055807" w:rsidP="00055807">
      <w:pPr>
        <w:rPr>
          <w:color w:val="156082" w:themeColor="accent1"/>
          <w:sz w:val="24"/>
          <w:szCs w:val="24"/>
        </w:rPr>
      </w:pPr>
    </w:p>
    <w:p w14:paraId="24BD8C60" w14:textId="77777777" w:rsidR="00055807" w:rsidRPr="00055807" w:rsidRDefault="00055807" w:rsidP="00055807">
      <w:pPr>
        <w:rPr>
          <w:color w:val="156082" w:themeColor="accent1"/>
          <w:sz w:val="24"/>
          <w:szCs w:val="24"/>
        </w:rPr>
      </w:pPr>
      <w:r w:rsidRPr="00055807">
        <w:rPr>
          <w:color w:val="156082" w:themeColor="accent1"/>
          <w:sz w:val="24"/>
          <w:szCs w:val="24"/>
        </w:rPr>
        <w:t>Bank stabilisation works are not considered waterway barrier works if: </w:t>
      </w:r>
    </w:p>
    <w:p w14:paraId="16BF1472" w14:textId="77777777" w:rsidR="00055807" w:rsidRPr="00055807" w:rsidRDefault="00055807" w:rsidP="00055807">
      <w:pPr>
        <w:rPr>
          <w:color w:val="156082" w:themeColor="accent1"/>
          <w:sz w:val="24"/>
          <w:szCs w:val="24"/>
        </w:rPr>
      </w:pPr>
    </w:p>
    <w:p w14:paraId="3B801D86" w14:textId="77777777" w:rsidR="00055807" w:rsidRPr="00055807" w:rsidRDefault="00055807" w:rsidP="00055807">
      <w:pPr>
        <w:rPr>
          <w:color w:val="156082" w:themeColor="accent1"/>
          <w:sz w:val="24"/>
          <w:szCs w:val="24"/>
        </w:rPr>
      </w:pPr>
      <w:r w:rsidRPr="00055807">
        <w:rPr>
          <w:b/>
          <w:bCs/>
          <w:color w:val="156082" w:themeColor="accent1"/>
          <w:sz w:val="24"/>
          <w:szCs w:val="24"/>
        </w:rPr>
        <w:t>Bank revetment or other bank stabilisation works</w:t>
      </w:r>
      <w:r w:rsidRPr="00055807">
        <w:rPr>
          <w:color w:val="156082" w:themeColor="accent1"/>
          <w:sz w:val="24"/>
          <w:szCs w:val="24"/>
        </w:rPr>
        <w:t> (both maintenance and new works) when they:</w:t>
      </w:r>
    </w:p>
    <w:p w14:paraId="3CF97BCA" w14:textId="77777777" w:rsidR="00055807" w:rsidRPr="00055807" w:rsidRDefault="00055807" w:rsidP="00055807">
      <w:pPr>
        <w:numPr>
          <w:ilvl w:val="0"/>
          <w:numId w:val="2"/>
        </w:numPr>
        <w:rPr>
          <w:color w:val="156082" w:themeColor="accent1"/>
          <w:sz w:val="24"/>
          <w:szCs w:val="24"/>
        </w:rPr>
      </w:pPr>
      <w:r w:rsidRPr="00055807">
        <w:rPr>
          <w:color w:val="156082" w:themeColor="accent1"/>
          <w:sz w:val="24"/>
          <w:szCs w:val="24"/>
        </w:rPr>
        <w:t>fill minor erosion pockets to regularise the bank of the waterway</w:t>
      </w:r>
    </w:p>
    <w:p w14:paraId="4A0ED39E" w14:textId="77777777" w:rsidR="00055807" w:rsidRPr="00055807" w:rsidRDefault="00055807" w:rsidP="00055807">
      <w:pPr>
        <w:numPr>
          <w:ilvl w:val="0"/>
          <w:numId w:val="2"/>
        </w:numPr>
        <w:rPr>
          <w:color w:val="156082" w:themeColor="accent1"/>
          <w:sz w:val="24"/>
          <w:szCs w:val="24"/>
        </w:rPr>
      </w:pPr>
      <w:r w:rsidRPr="00055807">
        <w:rPr>
          <w:color w:val="156082" w:themeColor="accent1"/>
          <w:sz w:val="24"/>
          <w:szCs w:val="24"/>
        </w:rPr>
        <w:t>are in waterways less than 50m wide at the main channel width and they do not:</w:t>
      </w:r>
    </w:p>
    <w:p w14:paraId="35D92911" w14:textId="77777777" w:rsidR="00055807" w:rsidRPr="00055807" w:rsidRDefault="00055807" w:rsidP="00055807">
      <w:pPr>
        <w:numPr>
          <w:ilvl w:val="1"/>
          <w:numId w:val="2"/>
        </w:numPr>
        <w:rPr>
          <w:color w:val="156082" w:themeColor="accent1"/>
          <w:sz w:val="24"/>
          <w:szCs w:val="24"/>
        </w:rPr>
      </w:pPr>
      <w:r w:rsidRPr="00055807">
        <w:rPr>
          <w:color w:val="156082" w:themeColor="accent1"/>
          <w:sz w:val="24"/>
          <w:szCs w:val="24"/>
        </w:rPr>
        <w:t>extend into the waterway beyond the toe of the bank</w:t>
      </w:r>
    </w:p>
    <w:p w14:paraId="670954C1" w14:textId="77777777" w:rsidR="00055807" w:rsidRPr="00055807" w:rsidRDefault="00055807" w:rsidP="00055807">
      <w:pPr>
        <w:numPr>
          <w:ilvl w:val="0"/>
          <w:numId w:val="2"/>
        </w:numPr>
        <w:rPr>
          <w:color w:val="156082" w:themeColor="accent1"/>
          <w:sz w:val="24"/>
          <w:szCs w:val="24"/>
        </w:rPr>
      </w:pPr>
      <w:r w:rsidRPr="00055807">
        <w:rPr>
          <w:color w:val="156082" w:themeColor="accent1"/>
          <w:sz w:val="24"/>
          <w:szCs w:val="24"/>
          <w:u w:val="single"/>
        </w:rPr>
        <w:t>are in waterways greater than 50m wide at the main channel width and they do not:</w:t>
      </w:r>
    </w:p>
    <w:p w14:paraId="6C05594F" w14:textId="77777777" w:rsidR="00055807" w:rsidRPr="00055807" w:rsidRDefault="00055807" w:rsidP="00055807">
      <w:pPr>
        <w:numPr>
          <w:ilvl w:val="1"/>
          <w:numId w:val="2"/>
        </w:numPr>
        <w:rPr>
          <w:color w:val="156082" w:themeColor="accent1"/>
          <w:sz w:val="24"/>
          <w:szCs w:val="24"/>
        </w:rPr>
      </w:pPr>
      <w:r w:rsidRPr="00055807">
        <w:rPr>
          <w:color w:val="156082" w:themeColor="accent1"/>
          <w:sz w:val="24"/>
          <w:szCs w:val="24"/>
          <w:u w:val="single"/>
        </w:rPr>
        <w:t>extend beyond 10% of the width of the waterway (main channel width)</w:t>
      </w:r>
    </w:p>
    <w:p w14:paraId="24402CCD" w14:textId="77777777" w:rsidR="00055807" w:rsidRPr="00055807" w:rsidRDefault="00055807" w:rsidP="00055807">
      <w:pPr>
        <w:numPr>
          <w:ilvl w:val="1"/>
          <w:numId w:val="2"/>
        </w:numPr>
        <w:rPr>
          <w:color w:val="156082" w:themeColor="accent1"/>
          <w:sz w:val="24"/>
          <w:szCs w:val="24"/>
        </w:rPr>
      </w:pPr>
      <w:r w:rsidRPr="00055807">
        <w:rPr>
          <w:color w:val="156082" w:themeColor="accent1"/>
          <w:sz w:val="24"/>
          <w:szCs w:val="24"/>
          <w:u w:val="single"/>
        </w:rPr>
        <w:t>raise the bed level of the waterway above its natural profile.</w:t>
      </w:r>
    </w:p>
    <w:p w14:paraId="4D038D1D" w14:textId="77777777" w:rsidR="00055807" w:rsidRDefault="00055807" w:rsidP="00055807">
      <w:pPr>
        <w:rPr>
          <w:b/>
          <w:bCs/>
          <w:color w:val="156082" w:themeColor="accent1"/>
          <w:sz w:val="24"/>
          <w:szCs w:val="24"/>
        </w:rPr>
      </w:pPr>
      <w:r w:rsidRPr="00055807">
        <w:rPr>
          <w:b/>
          <w:bCs/>
          <w:color w:val="156082" w:themeColor="accent1"/>
          <w:sz w:val="24"/>
          <w:szCs w:val="24"/>
        </w:rPr>
        <w:t>The current works meet the underlined requirements and are therefore not considered waterway barrier works</w:t>
      </w:r>
    </w:p>
    <w:p w14:paraId="70EE69B2" w14:textId="52C2A46F" w:rsidR="00055807" w:rsidRDefault="00055807" w:rsidP="00055807">
      <w:pPr>
        <w:rPr>
          <w:sz w:val="24"/>
          <w:szCs w:val="24"/>
        </w:rPr>
      </w:pPr>
      <w:r w:rsidRPr="00055807">
        <w:rPr>
          <w:sz w:val="24"/>
          <w:szCs w:val="24"/>
        </w:rPr>
        <w:lastRenderedPageBreak/>
        <w:t xml:space="preserve">Question: </w:t>
      </w:r>
      <w:r w:rsidRPr="00055807">
        <w:rPr>
          <w:sz w:val="24"/>
          <w:szCs w:val="24"/>
        </w:rPr>
        <w:t>Could you please assist with the following:</w:t>
      </w:r>
      <w:r w:rsidRPr="00055807">
        <w:rPr>
          <w:sz w:val="24"/>
          <w:szCs w:val="24"/>
        </w:rPr>
        <w:t xml:space="preserve"> </w:t>
      </w:r>
      <w:r w:rsidRPr="00055807">
        <w:rPr>
          <w:sz w:val="24"/>
          <w:szCs w:val="24"/>
        </w:rPr>
        <w:t>Construction Water Source</w:t>
      </w:r>
    </w:p>
    <w:p w14:paraId="6D7524C4" w14:textId="77777777" w:rsidR="00055807" w:rsidRPr="00055807" w:rsidRDefault="00055807" w:rsidP="00055807">
      <w:pPr>
        <w:rPr>
          <w:color w:val="156082" w:themeColor="accent1"/>
          <w:sz w:val="24"/>
          <w:szCs w:val="24"/>
        </w:rPr>
      </w:pPr>
      <w:r w:rsidRPr="00055807">
        <w:rPr>
          <w:color w:val="156082" w:themeColor="accent1"/>
          <w:sz w:val="24"/>
          <w:szCs w:val="24"/>
        </w:rPr>
        <w:t xml:space="preserve">Response: </w:t>
      </w:r>
      <w:r w:rsidRPr="00055807">
        <w:rPr>
          <w:color w:val="156082" w:themeColor="accent1"/>
          <w:sz w:val="24"/>
          <w:szCs w:val="24"/>
        </w:rPr>
        <w:t>The client does not have any existing approvals in place for the provision of construction water. It is the responsibility of the contractor to source their own water supply, obtain all necessary approvals, and provide the relevant permits for the use of water throughout the duration of the works.</w:t>
      </w:r>
    </w:p>
    <w:p w14:paraId="235D5ED7" w14:textId="42105E5A" w:rsidR="00055807" w:rsidRPr="00055807" w:rsidRDefault="00055807" w:rsidP="00055807">
      <w:pPr>
        <w:rPr>
          <w:sz w:val="24"/>
          <w:szCs w:val="24"/>
        </w:rPr>
      </w:pPr>
    </w:p>
    <w:p w14:paraId="50EAABB9" w14:textId="1C4966CE" w:rsidR="00055807" w:rsidRPr="00055807" w:rsidRDefault="00055807">
      <w:pPr>
        <w:rPr>
          <w:sz w:val="24"/>
          <w:szCs w:val="24"/>
        </w:rPr>
      </w:pPr>
    </w:p>
    <w:sectPr w:rsidR="00055807" w:rsidRPr="00055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C0323"/>
    <w:multiLevelType w:val="multilevel"/>
    <w:tmpl w:val="23B4F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956876"/>
    <w:multiLevelType w:val="hybridMultilevel"/>
    <w:tmpl w:val="47A2A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119840">
    <w:abstractNumId w:val="1"/>
  </w:num>
  <w:num w:numId="2" w16cid:durableId="108942476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07"/>
    <w:rsid w:val="00055807"/>
    <w:rsid w:val="00B70903"/>
    <w:rsid w:val="00F30651"/>
    <w:rsid w:val="00FB29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AFC0"/>
  <w15:chartTrackingRefBased/>
  <w15:docId w15:val="{D6273DE4-B0E0-4415-974C-DB6ED411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8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8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8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8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8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8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8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8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8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8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8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8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8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8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8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8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8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807"/>
    <w:rPr>
      <w:rFonts w:eastAsiaTheme="majorEastAsia" w:cstheme="majorBidi"/>
      <w:color w:val="272727" w:themeColor="text1" w:themeTint="D8"/>
    </w:rPr>
  </w:style>
  <w:style w:type="paragraph" w:styleId="Title">
    <w:name w:val="Title"/>
    <w:basedOn w:val="Normal"/>
    <w:next w:val="Normal"/>
    <w:link w:val="TitleChar"/>
    <w:uiPriority w:val="10"/>
    <w:qFormat/>
    <w:rsid w:val="000558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8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8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8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807"/>
    <w:pPr>
      <w:spacing w:before="160"/>
      <w:jc w:val="center"/>
    </w:pPr>
    <w:rPr>
      <w:i/>
      <w:iCs/>
      <w:color w:val="404040" w:themeColor="text1" w:themeTint="BF"/>
    </w:rPr>
  </w:style>
  <w:style w:type="character" w:customStyle="1" w:styleId="QuoteChar">
    <w:name w:val="Quote Char"/>
    <w:basedOn w:val="DefaultParagraphFont"/>
    <w:link w:val="Quote"/>
    <w:uiPriority w:val="29"/>
    <w:rsid w:val="00055807"/>
    <w:rPr>
      <w:i/>
      <w:iCs/>
      <w:color w:val="404040" w:themeColor="text1" w:themeTint="BF"/>
    </w:rPr>
  </w:style>
  <w:style w:type="paragraph" w:styleId="ListParagraph">
    <w:name w:val="List Paragraph"/>
    <w:basedOn w:val="Normal"/>
    <w:uiPriority w:val="34"/>
    <w:qFormat/>
    <w:rsid w:val="00055807"/>
    <w:pPr>
      <w:ind w:left="720"/>
      <w:contextualSpacing/>
    </w:pPr>
  </w:style>
  <w:style w:type="character" w:styleId="IntenseEmphasis">
    <w:name w:val="Intense Emphasis"/>
    <w:basedOn w:val="DefaultParagraphFont"/>
    <w:uiPriority w:val="21"/>
    <w:qFormat/>
    <w:rsid w:val="00055807"/>
    <w:rPr>
      <w:i/>
      <w:iCs/>
      <w:color w:val="0F4761" w:themeColor="accent1" w:themeShade="BF"/>
    </w:rPr>
  </w:style>
  <w:style w:type="paragraph" w:styleId="IntenseQuote">
    <w:name w:val="Intense Quote"/>
    <w:basedOn w:val="Normal"/>
    <w:next w:val="Normal"/>
    <w:link w:val="IntenseQuoteChar"/>
    <w:uiPriority w:val="30"/>
    <w:qFormat/>
    <w:rsid w:val="000558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807"/>
    <w:rPr>
      <w:i/>
      <w:iCs/>
      <w:color w:val="0F4761" w:themeColor="accent1" w:themeShade="BF"/>
    </w:rPr>
  </w:style>
  <w:style w:type="character" w:styleId="IntenseReference">
    <w:name w:val="Intense Reference"/>
    <w:basedOn w:val="DefaultParagraphFont"/>
    <w:uiPriority w:val="32"/>
    <w:qFormat/>
    <w:rsid w:val="00055807"/>
    <w:rPr>
      <w:b/>
      <w:bCs/>
      <w:smallCaps/>
      <w:color w:val="0F4761" w:themeColor="accent1" w:themeShade="BF"/>
      <w:spacing w:val="5"/>
    </w:rPr>
  </w:style>
  <w:style w:type="paragraph" w:styleId="NormalWeb">
    <w:name w:val="Normal (Web)"/>
    <w:basedOn w:val="Normal"/>
    <w:uiPriority w:val="99"/>
    <w:semiHidden/>
    <w:unhideWhenUsed/>
    <w:rsid w:val="00055807"/>
    <w:rPr>
      <w:rFonts w:ascii="Times New Roman" w:hAnsi="Times New Roman" w:cs="Times New Roman"/>
      <w:sz w:val="24"/>
      <w:szCs w:val="24"/>
    </w:rPr>
  </w:style>
  <w:style w:type="character" w:styleId="Hyperlink">
    <w:name w:val="Hyperlink"/>
    <w:basedOn w:val="DefaultParagraphFont"/>
    <w:uiPriority w:val="99"/>
    <w:unhideWhenUsed/>
    <w:rsid w:val="00055807"/>
    <w:rPr>
      <w:color w:val="467886" w:themeColor="hyperlink"/>
      <w:u w:val="single"/>
    </w:rPr>
  </w:style>
  <w:style w:type="character" w:styleId="UnresolvedMention">
    <w:name w:val="Unresolved Mention"/>
    <w:basedOn w:val="DefaultParagraphFont"/>
    <w:uiPriority w:val="99"/>
    <w:semiHidden/>
    <w:unhideWhenUsed/>
    <w:rsid w:val="00055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8551">
      <w:bodyDiv w:val="1"/>
      <w:marLeft w:val="0"/>
      <w:marRight w:val="0"/>
      <w:marTop w:val="0"/>
      <w:marBottom w:val="0"/>
      <w:divBdr>
        <w:top w:val="none" w:sz="0" w:space="0" w:color="auto"/>
        <w:left w:val="none" w:sz="0" w:space="0" w:color="auto"/>
        <w:bottom w:val="none" w:sz="0" w:space="0" w:color="auto"/>
        <w:right w:val="none" w:sz="0" w:space="0" w:color="auto"/>
      </w:divBdr>
    </w:div>
    <w:div w:id="412894715">
      <w:bodyDiv w:val="1"/>
      <w:marLeft w:val="0"/>
      <w:marRight w:val="0"/>
      <w:marTop w:val="0"/>
      <w:marBottom w:val="0"/>
      <w:divBdr>
        <w:top w:val="none" w:sz="0" w:space="0" w:color="auto"/>
        <w:left w:val="none" w:sz="0" w:space="0" w:color="auto"/>
        <w:bottom w:val="none" w:sz="0" w:space="0" w:color="auto"/>
        <w:right w:val="none" w:sz="0" w:space="0" w:color="auto"/>
      </w:divBdr>
    </w:div>
    <w:div w:id="461579825">
      <w:bodyDiv w:val="1"/>
      <w:marLeft w:val="0"/>
      <w:marRight w:val="0"/>
      <w:marTop w:val="0"/>
      <w:marBottom w:val="0"/>
      <w:divBdr>
        <w:top w:val="none" w:sz="0" w:space="0" w:color="auto"/>
        <w:left w:val="none" w:sz="0" w:space="0" w:color="auto"/>
        <w:bottom w:val="none" w:sz="0" w:space="0" w:color="auto"/>
        <w:right w:val="none" w:sz="0" w:space="0" w:color="auto"/>
      </w:divBdr>
    </w:div>
    <w:div w:id="596523906">
      <w:bodyDiv w:val="1"/>
      <w:marLeft w:val="0"/>
      <w:marRight w:val="0"/>
      <w:marTop w:val="0"/>
      <w:marBottom w:val="0"/>
      <w:divBdr>
        <w:top w:val="none" w:sz="0" w:space="0" w:color="auto"/>
        <w:left w:val="none" w:sz="0" w:space="0" w:color="auto"/>
        <w:bottom w:val="none" w:sz="0" w:space="0" w:color="auto"/>
        <w:right w:val="none" w:sz="0" w:space="0" w:color="auto"/>
      </w:divBdr>
    </w:div>
    <w:div w:id="970786498">
      <w:bodyDiv w:val="1"/>
      <w:marLeft w:val="0"/>
      <w:marRight w:val="0"/>
      <w:marTop w:val="0"/>
      <w:marBottom w:val="0"/>
      <w:divBdr>
        <w:top w:val="none" w:sz="0" w:space="0" w:color="auto"/>
        <w:left w:val="none" w:sz="0" w:space="0" w:color="auto"/>
        <w:bottom w:val="none" w:sz="0" w:space="0" w:color="auto"/>
        <w:right w:val="none" w:sz="0" w:space="0" w:color="auto"/>
      </w:divBdr>
    </w:div>
    <w:div w:id="109019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au.m.mimecastprotect.com/s/gqKsC0YKjkio7DNfwf2c9zBME?domain=business.qld.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Leesa Millar</dc:creator>
  <cp:keywords/>
  <dc:description/>
  <cp:lastModifiedBy>Leesa Millar</cp:lastModifiedBy>
  <cp:revision>1</cp:revision>
  <dcterms:created xsi:type="dcterms:W3CDTF">2025-04-14T23:07:00Z</dcterms:created>
  <dcterms:modified xsi:type="dcterms:W3CDTF">2025-04-14T23:12:00Z</dcterms:modified>
</cp:coreProperties>
</file>